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tblCellSpacing w:w="15" w:type="dxa"/>
        <w:tblCellMar>
          <w:top w:w="375" w:type="dxa"/>
          <w:left w:w="375" w:type="dxa"/>
          <w:bottom w:w="375" w:type="dxa"/>
          <w:right w:w="375" w:type="dxa"/>
        </w:tblCellMar>
        <w:tblLook w:val="04A0" w:firstRow="1" w:lastRow="0" w:firstColumn="1" w:lastColumn="0" w:noHBand="0" w:noVBand="1"/>
      </w:tblPr>
      <w:tblGrid>
        <w:gridCol w:w="8841"/>
        <w:gridCol w:w="51"/>
      </w:tblGrid>
      <w:tr w:rsidR="005F3086" w:rsidTr="005F3086">
        <w:trPr>
          <w:tblCellSpacing w:w="15" w:type="dxa"/>
        </w:trPr>
        <w:tc>
          <w:tcPr>
            <w:tcW w:w="5000" w:type="pct"/>
            <w:gridSpan w:val="2"/>
            <w:tcMar>
              <w:top w:w="0" w:type="dxa"/>
              <w:left w:w="0" w:type="dxa"/>
              <w:bottom w:w="0" w:type="dxa"/>
              <w:right w:w="0" w:type="dxa"/>
            </w:tcMar>
            <w:vAlign w:val="center"/>
            <w:hideMark/>
          </w:tcPr>
          <w:p w:rsidR="005F3086" w:rsidRDefault="005F3086">
            <w:pPr>
              <w:jc w:val="center"/>
              <w:rPr>
                <w:rFonts w:ascii="Arial" w:hAnsi="Arial" w:cs="Arial"/>
                <w:color w:val="000000"/>
                <w:sz w:val="20"/>
                <w:szCs w:val="20"/>
                <w:lang w:val="es-CR" w:eastAsia="es-CR"/>
              </w:rPr>
            </w:pPr>
            <w:bookmarkStart w:id="0" w:name="_GoBack"/>
            <w:bookmarkEnd w:id="0"/>
            <w:r>
              <w:rPr>
                <w:rFonts w:ascii="Arial" w:hAnsi="Arial" w:cs="Arial"/>
                <w:color w:val="000000"/>
                <w:sz w:val="27"/>
                <w:szCs w:val="27"/>
              </w:rPr>
              <w:t xml:space="preserve">Reglamento para el uso, custodia y conservación de los teléfonos celulares de la Procuraduría General de la República </w:t>
            </w:r>
          </w:p>
        </w:tc>
      </w:tr>
      <w:tr w:rsidR="005F3086" w:rsidTr="005F3086">
        <w:trPr>
          <w:tblCellSpacing w:w="15" w:type="dxa"/>
        </w:trPr>
        <w:tc>
          <w:tcPr>
            <w:tcW w:w="0" w:type="auto"/>
            <w:tcMar>
              <w:top w:w="0" w:type="dxa"/>
              <w:left w:w="0" w:type="dxa"/>
              <w:bottom w:w="0" w:type="dxa"/>
              <w:right w:w="0" w:type="dxa"/>
            </w:tcMar>
            <w:vAlign w:val="center"/>
          </w:tcPr>
          <w:p w:rsidR="005F3086" w:rsidRPr="005F3086" w:rsidRDefault="005F3086" w:rsidP="005F3086">
            <w:pPr>
              <w:pStyle w:val="Default"/>
              <w:spacing w:before="200" w:line="201" w:lineRule="atLeast"/>
              <w:jc w:val="center"/>
              <w:rPr>
                <w:rFonts w:ascii="Verdana!important" w:hAnsi="Verdana!important" w:cs="Arial"/>
                <w:b/>
                <w:color w:val="auto"/>
                <w:sz w:val="20"/>
                <w:szCs w:val="20"/>
              </w:rPr>
            </w:pPr>
            <w:bookmarkStart w:id="1" w:name="up"/>
            <w:bookmarkEnd w:id="1"/>
            <w:r>
              <w:rPr>
                <w:rFonts w:ascii="Verdana!important" w:hAnsi="Verdana!important" w:cs="Arial"/>
                <w:b/>
                <w:color w:val="auto"/>
                <w:sz w:val="20"/>
                <w:szCs w:val="20"/>
              </w:rPr>
              <w:t xml:space="preserve">N° 37976- JP </w:t>
            </w:r>
          </w:p>
          <w:p w:rsidR="005F3086" w:rsidRPr="005F3086" w:rsidRDefault="005F3086" w:rsidP="005F3086">
            <w:pPr>
              <w:pStyle w:val="Pa41"/>
              <w:spacing w:before="60"/>
              <w:jc w:val="center"/>
              <w:rPr>
                <w:rFonts w:ascii="Verdana!important" w:hAnsi="Verdana!important" w:cs="Arial"/>
                <w:color w:val="000000"/>
                <w:sz w:val="20"/>
                <w:szCs w:val="20"/>
              </w:rPr>
            </w:pPr>
            <w:r>
              <w:rPr>
                <w:rFonts w:ascii="Verdana!important" w:hAnsi="Verdana!important" w:cs="Arial"/>
                <w:color w:val="000000"/>
                <w:sz w:val="20"/>
                <w:szCs w:val="20"/>
              </w:rPr>
              <w:t xml:space="preserve">LA PRESIDENTA DE LA REPÚBLICA </w:t>
            </w:r>
          </w:p>
          <w:p w:rsidR="005F3086" w:rsidRPr="005F3086" w:rsidRDefault="005F3086" w:rsidP="005F3086">
            <w:pPr>
              <w:pStyle w:val="Pa51"/>
              <w:jc w:val="center"/>
              <w:rPr>
                <w:rFonts w:cs="Arial"/>
                <w:color w:val="000000"/>
                <w:sz w:val="20"/>
                <w:szCs w:val="20"/>
              </w:rPr>
            </w:pPr>
            <w:r>
              <w:rPr>
                <w:rFonts w:cs="Arial"/>
                <w:color w:val="000000"/>
                <w:sz w:val="20"/>
                <w:szCs w:val="20"/>
              </w:rPr>
              <w:t xml:space="preserve">Y LA MINISTRA DE JUSTICIA Y PAZ </w:t>
            </w:r>
          </w:p>
          <w:p w:rsidR="005F3086" w:rsidRPr="005F3086" w:rsidRDefault="005F3086" w:rsidP="005F3086">
            <w:pPr>
              <w:pStyle w:val="Pa61"/>
              <w:spacing w:before="60"/>
              <w:ind w:firstLine="480"/>
              <w:jc w:val="both"/>
              <w:rPr>
                <w:rFonts w:ascii="Verdana!important" w:hAnsi="Verdana!important" w:cs="Arial"/>
                <w:color w:val="000000"/>
                <w:sz w:val="20"/>
                <w:szCs w:val="20"/>
              </w:rPr>
            </w:pPr>
            <w:r>
              <w:rPr>
                <w:rFonts w:ascii="Verdana!important" w:hAnsi="Verdana!important" w:cs="Arial"/>
                <w:color w:val="000000"/>
                <w:sz w:val="20"/>
                <w:szCs w:val="20"/>
              </w:rPr>
              <w:t xml:space="preserve">En uso de las facultades conferidas por los artículos 140 incisos 3), 18), y 20) y 146 de la Constitución Política; artículos 25, 27, 28, párrafo segundo, inciso b), y 103 de la Ley General de la Administración Pública. </w:t>
            </w:r>
          </w:p>
          <w:p w:rsidR="005F3086" w:rsidRDefault="005F3086">
            <w:pPr>
              <w:pStyle w:val="Pa41"/>
              <w:spacing w:before="60"/>
              <w:jc w:val="center"/>
              <w:rPr>
                <w:rFonts w:ascii="Verdana!important" w:hAnsi="Verdana!important" w:cs="Arial"/>
                <w:color w:val="000000"/>
                <w:sz w:val="20"/>
                <w:szCs w:val="20"/>
              </w:rPr>
            </w:pPr>
            <w:r>
              <w:rPr>
                <w:rFonts w:ascii="Verdana!important" w:hAnsi="Verdana!important" w:cs="Arial"/>
                <w:i/>
                <w:iCs/>
                <w:color w:val="000000"/>
                <w:sz w:val="20"/>
                <w:szCs w:val="20"/>
              </w:rPr>
              <w:t xml:space="preserve">Considerando: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61"/>
              <w:spacing w:before="60"/>
              <w:ind w:firstLine="480"/>
              <w:jc w:val="both"/>
              <w:rPr>
                <w:rFonts w:ascii="Verdana!important" w:hAnsi="Verdana!important" w:cs="Arial"/>
                <w:color w:val="000000"/>
                <w:sz w:val="20"/>
                <w:szCs w:val="20"/>
              </w:rPr>
            </w:pPr>
            <w:r>
              <w:rPr>
                <w:rFonts w:ascii="Verdana!important" w:hAnsi="Verdana!important" w:cs="Arial"/>
                <w:color w:val="000000"/>
                <w:sz w:val="20"/>
                <w:szCs w:val="20"/>
              </w:rPr>
              <w:t xml:space="preserve">1º-Que es necesario establecer normas claras y precisas para regular el uso, custodia y conservación de los teléfonos celulares que la Procuraduría General de la República proporcione o facilite a sus funcionarios públicos para el mejor desempeño de sus labores y actividades diarias, en beneficio de los usuarios de sus servicios.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71"/>
              <w:ind w:firstLine="480"/>
              <w:jc w:val="both"/>
              <w:rPr>
                <w:rFonts w:ascii="Verdana!important" w:hAnsi="Verdana!important" w:cs="Arial"/>
                <w:color w:val="000000"/>
                <w:sz w:val="20"/>
                <w:szCs w:val="20"/>
              </w:rPr>
            </w:pPr>
            <w:r>
              <w:rPr>
                <w:rFonts w:ascii="Verdana!important" w:hAnsi="Verdana!important" w:cs="Arial"/>
                <w:color w:val="000000"/>
                <w:sz w:val="20"/>
                <w:szCs w:val="20"/>
              </w:rPr>
              <w:t xml:space="preserve">2º-Que por lo anterior, es preciso reglamentar detalladamente las obligaciones y responsabilidades de quienes usan los teléfonos celulares propiedad de la Procuraduría General de la República, y establecer los lineamientos básicos para regular su uso de forma que permita y facilite la adecuada administración del activo en referencia, un control efectivo sobre su uso y custodia, que coadyuve a la prestación efectiva del servicio público y que haga posible una correcta y sana utilización de los recursos públicos. </w:t>
            </w:r>
            <w:r>
              <w:rPr>
                <w:rFonts w:ascii="Verdana!important" w:hAnsi="Verdana!important" w:cs="Arial"/>
                <w:b/>
                <w:bCs/>
                <w:color w:val="000000"/>
                <w:sz w:val="20"/>
                <w:szCs w:val="20"/>
              </w:rPr>
              <w:t xml:space="preserve">Por tanto,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41"/>
              <w:spacing w:before="60"/>
              <w:jc w:val="center"/>
              <w:rPr>
                <w:rFonts w:ascii="Verdana!important" w:hAnsi="Verdana!important" w:cs="Arial"/>
                <w:color w:val="000000"/>
                <w:sz w:val="20"/>
                <w:szCs w:val="20"/>
              </w:rPr>
            </w:pPr>
            <w:r>
              <w:rPr>
                <w:rFonts w:ascii="Verdana!important" w:hAnsi="Verdana!important" w:cs="Arial"/>
                <w:color w:val="000000"/>
                <w:sz w:val="20"/>
                <w:szCs w:val="20"/>
              </w:rPr>
              <w:t xml:space="preserve">Decretan: </w:t>
            </w:r>
          </w:p>
          <w:p w:rsidR="005F3086" w:rsidRDefault="005F3086">
            <w:pPr>
              <w:spacing w:after="240"/>
              <w:jc w:val="left"/>
              <w:rPr>
                <w:rFonts w:ascii="Arial" w:eastAsia="Times New Roman" w:hAnsi="Arial" w:cs="Arial"/>
                <w:color w:val="000000"/>
                <w:sz w:val="20"/>
                <w:szCs w:val="20"/>
                <w:lang w:val="es-CR" w:eastAsia="es-CR"/>
              </w:rPr>
            </w:pPr>
          </w:p>
          <w:p w:rsidR="005F3086" w:rsidRPr="005F3086" w:rsidRDefault="005F3086" w:rsidP="005F3086">
            <w:pPr>
              <w:pStyle w:val="Pa41"/>
              <w:spacing w:before="60"/>
              <w:jc w:val="center"/>
              <w:rPr>
                <w:rFonts w:ascii="Verdana!important" w:hAnsi="Verdana!important" w:cs="Arial"/>
                <w:color w:val="000000"/>
                <w:sz w:val="20"/>
                <w:szCs w:val="20"/>
              </w:rPr>
            </w:pPr>
            <w:r>
              <w:rPr>
                <w:rStyle w:val="A61"/>
                <w:rFonts w:ascii="Verdana!important" w:hAnsi="Verdana!important" w:cs="Arial"/>
                <w:sz w:val="20"/>
                <w:szCs w:val="20"/>
              </w:rPr>
              <w:t xml:space="preserve">Reglamento para el uso, custodia y conservación </w:t>
            </w:r>
          </w:p>
          <w:p w:rsidR="005F3086" w:rsidRPr="005F3086" w:rsidRDefault="005F3086" w:rsidP="005F3086">
            <w:pPr>
              <w:pStyle w:val="Pa51"/>
              <w:jc w:val="center"/>
              <w:rPr>
                <w:rFonts w:ascii="Verdana!important" w:hAnsi="Verdana!important" w:cs="Arial"/>
                <w:color w:val="000000"/>
                <w:sz w:val="20"/>
                <w:szCs w:val="20"/>
              </w:rPr>
            </w:pPr>
            <w:r>
              <w:rPr>
                <w:rStyle w:val="A61"/>
                <w:rFonts w:ascii="Verdana!important" w:hAnsi="Verdana!important" w:cs="Arial"/>
                <w:sz w:val="20"/>
                <w:szCs w:val="20"/>
              </w:rPr>
              <w:t xml:space="preserve">de los teléfonos celulares de la Procuraduría </w:t>
            </w:r>
          </w:p>
          <w:p w:rsidR="005F3086" w:rsidRDefault="005F3086">
            <w:pPr>
              <w:pStyle w:val="Pa51"/>
              <w:jc w:val="center"/>
              <w:rPr>
                <w:rFonts w:ascii="Verdana!important" w:hAnsi="Verdana!important" w:cs="Arial"/>
                <w:color w:val="000000"/>
                <w:sz w:val="20"/>
                <w:szCs w:val="20"/>
              </w:rPr>
            </w:pPr>
            <w:r>
              <w:rPr>
                <w:rStyle w:val="A61"/>
                <w:rFonts w:ascii="Verdana!important" w:hAnsi="Verdana!important" w:cs="Arial"/>
                <w:sz w:val="20"/>
                <w:szCs w:val="20"/>
              </w:rPr>
              <w:t xml:space="preserve">General de la República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jc w:val="both"/>
              <w:rPr>
                <w:rFonts w:ascii="Verdana!important" w:hAnsi="Verdana!important" w:cs="Arial"/>
                <w:color w:val="000000"/>
                <w:sz w:val="20"/>
                <w:szCs w:val="20"/>
              </w:rPr>
            </w:pPr>
            <w:r>
              <w:rPr>
                <w:rFonts w:ascii="Verdana!important" w:hAnsi="Verdana!important" w:cs="Arial"/>
                <w:color w:val="000000"/>
                <w:sz w:val="20"/>
                <w:szCs w:val="20"/>
              </w:rPr>
              <w:t>Artículo 1º-</w:t>
            </w:r>
            <w:r>
              <w:rPr>
                <w:rFonts w:ascii="Verdana!important" w:hAnsi="Verdana!important" w:cs="Arial"/>
                <w:b/>
                <w:bCs/>
                <w:color w:val="000000"/>
                <w:sz w:val="20"/>
                <w:szCs w:val="20"/>
              </w:rPr>
              <w:t>Definiciones</w:t>
            </w:r>
            <w:r>
              <w:rPr>
                <w:rFonts w:ascii="Verdana!important" w:hAnsi="Verdana!important" w:cs="Arial"/>
                <w:color w:val="000000"/>
                <w:sz w:val="20"/>
                <w:szCs w:val="20"/>
              </w:rPr>
              <w:t xml:space="preserve">: Para los efectos de este Reglamento, se entiende como: </w:t>
            </w:r>
          </w:p>
          <w:p w:rsidR="005F3086" w:rsidRDefault="005F3086">
            <w:pPr>
              <w:spacing w:after="240"/>
              <w:jc w:val="left"/>
              <w:rPr>
                <w:rFonts w:ascii="Arial" w:eastAsia="Times New Roman" w:hAnsi="Arial" w:cs="Arial"/>
                <w:color w:val="000000"/>
                <w:sz w:val="20"/>
                <w:szCs w:val="20"/>
                <w:lang w:val="es-CR" w:eastAsia="es-CR"/>
              </w:rPr>
            </w:pPr>
          </w:p>
          <w:p w:rsidR="005F3086" w:rsidRPr="005F3086" w:rsidRDefault="005F3086" w:rsidP="005F3086">
            <w:pPr>
              <w:pStyle w:val="Pa191"/>
              <w:spacing w:before="60"/>
              <w:ind w:firstLine="708"/>
              <w:jc w:val="both"/>
              <w:rPr>
                <w:rFonts w:ascii="Verdana!important" w:hAnsi="Verdana!important" w:cs="Arial"/>
                <w:color w:val="000000"/>
                <w:sz w:val="20"/>
                <w:szCs w:val="20"/>
              </w:rPr>
            </w:pPr>
            <w:r>
              <w:rPr>
                <w:rFonts w:ascii="Verdana!important" w:hAnsi="Verdana!important" w:cs="Arial"/>
                <w:b/>
                <w:bCs/>
                <w:color w:val="000000"/>
                <w:sz w:val="20"/>
                <w:szCs w:val="20"/>
              </w:rPr>
              <w:t>Procuraduría</w:t>
            </w:r>
            <w:r>
              <w:rPr>
                <w:rFonts w:ascii="Verdana!important" w:hAnsi="Verdana!important" w:cs="Arial"/>
                <w:color w:val="000000"/>
                <w:sz w:val="20"/>
                <w:szCs w:val="20"/>
              </w:rPr>
              <w:t xml:space="preserve">: Procuraduría General de la República. </w:t>
            </w:r>
          </w:p>
          <w:p w:rsidR="005F3086" w:rsidRPr="005F3086" w:rsidRDefault="005F3086" w:rsidP="005F3086">
            <w:pPr>
              <w:pStyle w:val="Pa191"/>
              <w:spacing w:before="60"/>
              <w:ind w:firstLine="708"/>
              <w:jc w:val="both"/>
              <w:rPr>
                <w:rFonts w:ascii="Verdana!important" w:hAnsi="Verdana!important" w:cs="Arial"/>
                <w:color w:val="000000"/>
                <w:sz w:val="20"/>
                <w:szCs w:val="20"/>
              </w:rPr>
            </w:pPr>
            <w:r>
              <w:rPr>
                <w:rFonts w:ascii="Verdana!important" w:hAnsi="Verdana!important" w:cs="Arial"/>
                <w:b/>
                <w:bCs/>
                <w:color w:val="000000"/>
                <w:sz w:val="20"/>
                <w:szCs w:val="20"/>
              </w:rPr>
              <w:t xml:space="preserve">Procurador </w:t>
            </w:r>
            <w:r>
              <w:rPr>
                <w:rFonts w:ascii="Verdana!important" w:hAnsi="Verdana!important" w:cs="Arial"/>
                <w:color w:val="000000"/>
                <w:sz w:val="20"/>
                <w:szCs w:val="20"/>
              </w:rPr>
              <w:t xml:space="preserve">(a) </w:t>
            </w:r>
            <w:r>
              <w:rPr>
                <w:rFonts w:ascii="Verdana!important" w:hAnsi="Verdana!important" w:cs="Arial"/>
                <w:b/>
                <w:bCs/>
                <w:color w:val="000000"/>
                <w:sz w:val="20"/>
                <w:szCs w:val="20"/>
              </w:rPr>
              <w:t>General</w:t>
            </w:r>
            <w:r>
              <w:rPr>
                <w:rFonts w:ascii="Verdana!important" w:hAnsi="Verdana!important" w:cs="Arial"/>
                <w:color w:val="000000"/>
                <w:sz w:val="20"/>
                <w:szCs w:val="20"/>
              </w:rPr>
              <w:t xml:space="preserve">: Procurador (a) General de la República. </w:t>
            </w:r>
          </w:p>
          <w:p w:rsidR="005F3086" w:rsidRPr="005F3086" w:rsidRDefault="005F3086" w:rsidP="005F3086">
            <w:pPr>
              <w:pStyle w:val="Pa191"/>
              <w:spacing w:before="60"/>
              <w:ind w:firstLine="708"/>
              <w:jc w:val="both"/>
              <w:rPr>
                <w:rFonts w:ascii="Verdana!important" w:hAnsi="Verdana!important" w:cs="Arial"/>
                <w:color w:val="000000"/>
                <w:sz w:val="20"/>
                <w:szCs w:val="20"/>
              </w:rPr>
            </w:pPr>
            <w:r>
              <w:rPr>
                <w:rFonts w:ascii="Verdana!important" w:hAnsi="Verdana!important" w:cs="Arial"/>
                <w:b/>
                <w:bCs/>
                <w:color w:val="000000"/>
                <w:sz w:val="20"/>
                <w:szCs w:val="20"/>
              </w:rPr>
              <w:t xml:space="preserve">Procurador </w:t>
            </w:r>
            <w:r>
              <w:rPr>
                <w:rFonts w:ascii="Verdana!important" w:hAnsi="Verdana!important" w:cs="Arial"/>
                <w:color w:val="000000"/>
                <w:sz w:val="20"/>
                <w:szCs w:val="20"/>
              </w:rPr>
              <w:t xml:space="preserve">(a) </w:t>
            </w:r>
            <w:r>
              <w:rPr>
                <w:rFonts w:ascii="Verdana!important" w:hAnsi="Verdana!important" w:cs="Arial"/>
                <w:b/>
                <w:bCs/>
                <w:color w:val="000000"/>
                <w:sz w:val="20"/>
                <w:szCs w:val="20"/>
              </w:rPr>
              <w:t xml:space="preserve">General Adjunto </w:t>
            </w:r>
            <w:r>
              <w:rPr>
                <w:rFonts w:ascii="Verdana!important" w:hAnsi="Verdana!important" w:cs="Arial"/>
                <w:color w:val="000000"/>
                <w:sz w:val="20"/>
                <w:szCs w:val="20"/>
              </w:rPr>
              <w:t xml:space="preserve">(a): Procurador (a) General Adjunto (a) de la República. </w:t>
            </w:r>
          </w:p>
          <w:p w:rsidR="005F3086" w:rsidRPr="005F3086" w:rsidRDefault="005F3086" w:rsidP="005F3086">
            <w:pPr>
              <w:pStyle w:val="Pa191"/>
              <w:spacing w:before="60"/>
              <w:ind w:firstLine="708"/>
              <w:jc w:val="both"/>
              <w:rPr>
                <w:rFonts w:ascii="Verdana!important" w:hAnsi="Verdana!important" w:cs="Arial"/>
                <w:color w:val="000000"/>
                <w:sz w:val="20"/>
                <w:szCs w:val="20"/>
              </w:rPr>
            </w:pPr>
            <w:r>
              <w:rPr>
                <w:rFonts w:ascii="Verdana!important" w:hAnsi="Verdana!important" w:cs="Arial"/>
                <w:b/>
                <w:bCs/>
                <w:color w:val="000000"/>
                <w:sz w:val="20"/>
                <w:szCs w:val="20"/>
              </w:rPr>
              <w:t xml:space="preserve">Director </w:t>
            </w:r>
            <w:r>
              <w:rPr>
                <w:rFonts w:ascii="Verdana!important" w:hAnsi="Verdana!important" w:cs="Arial"/>
                <w:color w:val="000000"/>
                <w:sz w:val="20"/>
                <w:szCs w:val="20"/>
              </w:rPr>
              <w:t xml:space="preserve">(a): Director (a) Administrativo (a). </w:t>
            </w:r>
          </w:p>
          <w:p w:rsidR="005F3086" w:rsidRDefault="005F3086" w:rsidP="005F3086">
            <w:pPr>
              <w:pStyle w:val="Pa191"/>
              <w:spacing w:before="60"/>
              <w:ind w:firstLine="708"/>
              <w:jc w:val="both"/>
              <w:rPr>
                <w:rFonts w:ascii="Verdana!important" w:hAnsi="Verdana!important" w:cs="Arial"/>
                <w:color w:val="000000"/>
                <w:sz w:val="20"/>
                <w:szCs w:val="20"/>
              </w:rPr>
            </w:pPr>
            <w:r>
              <w:rPr>
                <w:rFonts w:ascii="Verdana!important" w:hAnsi="Verdana!important" w:cs="Arial"/>
                <w:b/>
                <w:bCs/>
                <w:color w:val="000000"/>
                <w:sz w:val="20"/>
                <w:szCs w:val="20"/>
              </w:rPr>
              <w:t>Ley</w:t>
            </w:r>
            <w:r>
              <w:rPr>
                <w:rFonts w:ascii="Verdana!important" w:hAnsi="Verdana!important" w:cs="Arial"/>
                <w:color w:val="000000"/>
                <w:sz w:val="20"/>
                <w:szCs w:val="20"/>
              </w:rPr>
              <w:t xml:space="preserve">: Ley General de la Administración Pública. </w:t>
            </w:r>
          </w:p>
          <w:p w:rsidR="005F3086" w:rsidRPr="005F3086" w:rsidRDefault="005F3086" w:rsidP="005F3086">
            <w:pPr>
              <w:pStyle w:val="Default"/>
            </w:pPr>
          </w:p>
          <w:p w:rsidR="005F3086" w:rsidRPr="005F3086" w:rsidRDefault="005F3086" w:rsidP="005F3086">
            <w:pPr>
              <w:pStyle w:val="Pa191"/>
              <w:spacing w:before="60"/>
              <w:ind w:firstLine="708"/>
              <w:jc w:val="both"/>
              <w:rPr>
                <w:rFonts w:ascii="Verdana!important" w:hAnsi="Verdana!important" w:cs="Arial"/>
                <w:color w:val="000000"/>
                <w:sz w:val="20"/>
                <w:szCs w:val="20"/>
              </w:rPr>
            </w:pPr>
            <w:r>
              <w:rPr>
                <w:rFonts w:ascii="Verdana!important" w:hAnsi="Verdana!important" w:cs="Arial"/>
                <w:b/>
                <w:bCs/>
                <w:color w:val="000000"/>
                <w:sz w:val="20"/>
                <w:szCs w:val="20"/>
              </w:rPr>
              <w:t>Reglamento</w:t>
            </w:r>
            <w:r>
              <w:rPr>
                <w:rFonts w:ascii="Verdana!important" w:hAnsi="Verdana!important" w:cs="Arial"/>
                <w:color w:val="000000"/>
                <w:sz w:val="20"/>
                <w:szCs w:val="20"/>
              </w:rPr>
              <w:t xml:space="preserve">: Reglamento para el uso, custodia y conservación de los teléfonos celulares de la Procuraduría General de la República y para el servicio de pago de mensualidades y los procedimientos a seguir para garantizar su utilización racional y acorde con los fines institucionales. </w:t>
            </w:r>
          </w:p>
          <w:p w:rsidR="005F3086" w:rsidRPr="005F3086" w:rsidRDefault="005F3086" w:rsidP="005F3086">
            <w:pPr>
              <w:pStyle w:val="Pa191"/>
              <w:spacing w:before="60"/>
              <w:ind w:firstLine="708"/>
              <w:jc w:val="both"/>
              <w:rPr>
                <w:rFonts w:ascii="Verdana!important" w:hAnsi="Verdana!important" w:cs="Arial"/>
                <w:color w:val="000000"/>
                <w:sz w:val="20"/>
                <w:szCs w:val="20"/>
              </w:rPr>
            </w:pPr>
            <w:r>
              <w:rPr>
                <w:rFonts w:ascii="Verdana!important" w:hAnsi="Verdana!important" w:cs="Arial"/>
                <w:b/>
                <w:bCs/>
                <w:color w:val="000000"/>
                <w:sz w:val="20"/>
                <w:szCs w:val="20"/>
              </w:rPr>
              <w:t>Teléfono celular</w:t>
            </w:r>
            <w:r>
              <w:rPr>
                <w:rFonts w:ascii="Verdana!important" w:hAnsi="Verdana!important" w:cs="Arial"/>
                <w:color w:val="000000"/>
                <w:sz w:val="20"/>
                <w:szCs w:val="20"/>
              </w:rPr>
              <w:t xml:space="preserve">: Aparato celular de emisión y recepción telefónica y sus accesorios. </w:t>
            </w:r>
          </w:p>
          <w:p w:rsidR="005F3086" w:rsidRPr="005F3086" w:rsidRDefault="005F3086" w:rsidP="005F3086">
            <w:pPr>
              <w:pStyle w:val="Pa191"/>
              <w:spacing w:before="60"/>
              <w:ind w:firstLine="708"/>
              <w:jc w:val="both"/>
              <w:rPr>
                <w:rFonts w:ascii="Verdana!important" w:hAnsi="Verdana!important" w:cs="Arial"/>
                <w:color w:val="000000"/>
                <w:sz w:val="20"/>
                <w:szCs w:val="20"/>
              </w:rPr>
            </w:pPr>
            <w:r>
              <w:rPr>
                <w:rFonts w:ascii="Verdana!important" w:hAnsi="Verdana!important" w:cs="Arial"/>
                <w:b/>
                <w:bCs/>
                <w:color w:val="000000"/>
                <w:sz w:val="20"/>
                <w:szCs w:val="20"/>
              </w:rPr>
              <w:t>Servicio Celular</w:t>
            </w:r>
            <w:r>
              <w:rPr>
                <w:rFonts w:ascii="Verdana!important" w:hAnsi="Verdana!important" w:cs="Arial"/>
                <w:color w:val="000000"/>
                <w:sz w:val="20"/>
                <w:szCs w:val="20"/>
              </w:rPr>
              <w:t xml:space="preserve">: Se compone de una unidad de comunicación bidireccional de tecnología de celdas, conocido como teléfono celular (y sus accesorios) y que a su vez debe contar con una línea de comunicación activa y provista por el proveedor de servicios de telefonía celular. </w:t>
            </w:r>
          </w:p>
          <w:p w:rsidR="005F3086" w:rsidRDefault="005F3086">
            <w:pPr>
              <w:pStyle w:val="Pa191"/>
              <w:spacing w:before="60"/>
              <w:ind w:firstLine="708"/>
              <w:jc w:val="both"/>
              <w:rPr>
                <w:rFonts w:ascii="Verdana!important" w:hAnsi="Verdana!important" w:cs="Arial"/>
                <w:color w:val="000000"/>
                <w:sz w:val="20"/>
                <w:szCs w:val="20"/>
              </w:rPr>
            </w:pPr>
            <w:r>
              <w:rPr>
                <w:rFonts w:ascii="Verdana!important" w:hAnsi="Verdana!important" w:cs="Arial"/>
                <w:b/>
                <w:bCs/>
                <w:color w:val="000000"/>
                <w:sz w:val="20"/>
                <w:szCs w:val="20"/>
              </w:rPr>
              <w:t>Mes</w:t>
            </w:r>
            <w:r>
              <w:rPr>
                <w:rFonts w:ascii="Verdana!important" w:hAnsi="Verdana!important" w:cs="Arial"/>
                <w:color w:val="000000"/>
                <w:sz w:val="20"/>
                <w:szCs w:val="20"/>
              </w:rPr>
              <w:t xml:space="preserve">: Período de treinta días naturales.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jc w:val="both"/>
              <w:rPr>
                <w:rFonts w:ascii="Verdana!important" w:hAnsi="Verdana!important" w:cs="Arial"/>
                <w:color w:val="000000"/>
                <w:sz w:val="20"/>
                <w:szCs w:val="20"/>
              </w:rPr>
            </w:pPr>
            <w:r>
              <w:rPr>
                <w:rFonts w:ascii="Verdana!important" w:hAnsi="Verdana!important" w:cs="Arial"/>
                <w:b/>
                <w:bCs/>
                <w:color w:val="000000"/>
                <w:sz w:val="20"/>
                <w:szCs w:val="20"/>
              </w:rPr>
              <w:t>Tarifa básica</w:t>
            </w:r>
            <w:r>
              <w:rPr>
                <w:rFonts w:ascii="Verdana!important" w:hAnsi="Verdana!important" w:cs="Arial"/>
                <w:color w:val="000000"/>
                <w:sz w:val="20"/>
                <w:szCs w:val="20"/>
              </w:rPr>
              <w:t xml:space="preserve">: La tarifa que se reconocerá es la correspondiente al plan que contrate la Procuraduría para cada funcionario.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rsidP="005F3086">
            <w:pPr>
              <w:rPr>
                <w:rFonts w:cs="Arial"/>
                <w:color w:val="000000"/>
                <w:sz w:val="20"/>
                <w:szCs w:val="20"/>
                <w:lang w:val="es-CR" w:eastAsia="es-CR"/>
              </w:rPr>
            </w:pPr>
            <w:r>
              <w:rPr>
                <w:rFonts w:ascii="Verdana!important" w:hAnsi="Verdana!important" w:cs="Arial"/>
                <w:color w:val="000000"/>
                <w:sz w:val="20"/>
                <w:szCs w:val="20"/>
                <w:lang w:val="es-CR" w:eastAsia="es-CR"/>
              </w:rPr>
              <w:br w:type="page"/>
            </w:r>
            <w:r>
              <w:rPr>
                <w:rFonts w:cs="Arial"/>
                <w:color w:val="000000"/>
                <w:sz w:val="20"/>
                <w:szCs w:val="20"/>
              </w:rPr>
              <w:t>Artículo 2º-</w:t>
            </w:r>
            <w:r>
              <w:rPr>
                <w:rFonts w:cs="Arial"/>
                <w:b/>
                <w:bCs/>
                <w:color w:val="000000"/>
                <w:sz w:val="20"/>
                <w:szCs w:val="20"/>
              </w:rPr>
              <w:t>Objeto</w:t>
            </w:r>
            <w:r>
              <w:rPr>
                <w:rFonts w:cs="Arial"/>
                <w:color w:val="000000"/>
                <w:sz w:val="20"/>
                <w:szCs w:val="20"/>
              </w:rPr>
              <w:t xml:space="preserve">. El presente Reglamento tiene por objeto regular la utilización racional, custodia y conservación de los teléfonos celulares, pertenecientes a la Procuraduría General de la República, así como el servicio de pago de mensualidades y los procedimientos a seguir para garantizar su utilización racional y acorde con los fines institucionales.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rsidP="005F3086">
            <w:pPr>
              <w:rPr>
                <w:rFonts w:cs="Arial"/>
                <w:color w:val="000000"/>
                <w:sz w:val="20"/>
                <w:szCs w:val="20"/>
                <w:lang w:val="es-CR" w:eastAsia="es-CR"/>
              </w:rPr>
            </w:pPr>
            <w:r>
              <w:rPr>
                <w:rFonts w:ascii="Verdana!important" w:hAnsi="Verdana!important" w:cs="Arial"/>
                <w:color w:val="000000"/>
                <w:sz w:val="20"/>
                <w:szCs w:val="20"/>
                <w:lang w:val="es-CR" w:eastAsia="es-CR"/>
              </w:rPr>
              <w:br w:type="page"/>
            </w:r>
            <w:r>
              <w:rPr>
                <w:rFonts w:cs="Arial"/>
                <w:color w:val="000000"/>
                <w:sz w:val="20"/>
                <w:szCs w:val="20"/>
              </w:rPr>
              <w:t>Artículo 3º-</w:t>
            </w:r>
            <w:r>
              <w:rPr>
                <w:rFonts w:cs="Arial"/>
                <w:b/>
                <w:bCs/>
                <w:color w:val="000000"/>
                <w:sz w:val="20"/>
                <w:szCs w:val="20"/>
              </w:rPr>
              <w:t>Funcionarios a quienes se les asigna teléfono celular</w:t>
            </w:r>
            <w:r>
              <w:rPr>
                <w:rFonts w:cs="Arial"/>
                <w:color w:val="000000"/>
                <w:sz w:val="20"/>
                <w:szCs w:val="20"/>
              </w:rPr>
              <w:t xml:space="preserve">. Se autoriza la utilización de teléfonos celulares propiedad de la Procuraduría General de la República, en atención de los cargos que desempeñan, a los siguientes funcionarios: Procurador (a) General de la República, Procurador (a) General Adjunto (a) de la República, Director (a) de Desarrollo Institucional, Encargado (a) de Prensa. Además se autoriza a los Operadores de Equipo Móvil.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El Procurador (a) General o el Procurador (a) General Adjunto (a) autorizarán, en casos excepcionales, mediante resolución fundada, el uso de teléfonos celulares a otros funcionarios, ante solicitud motivada del Coordinador o Jefe del Área requirente.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Cuando por la índole de las funciones se requiera de su disponibilidad, la asignación y uso de teléfonos celulares se debe sujetar a los principios de razonabilidad, racionalidad, eficiencia, eficacia y, en general, a las prácticas de sana administración de los recursos públicos. </w:t>
            </w:r>
          </w:p>
          <w:p w:rsidR="005F3086" w:rsidRDefault="005F3086" w:rsidP="005F3086">
            <w:pPr>
              <w:pStyle w:val="Pa191"/>
              <w:spacing w:before="60"/>
              <w:ind w:firstLine="708"/>
              <w:jc w:val="both"/>
              <w:rPr>
                <w:rFonts w:cs="Arial"/>
                <w:color w:val="000000"/>
                <w:sz w:val="20"/>
                <w:szCs w:val="20"/>
              </w:rPr>
            </w:pPr>
          </w:p>
          <w:p w:rsidR="005F3086" w:rsidRDefault="005F3086" w:rsidP="005F3086">
            <w:pPr>
              <w:pStyle w:val="Pa191"/>
              <w:spacing w:before="60"/>
              <w:ind w:firstLine="708"/>
              <w:jc w:val="both"/>
              <w:rPr>
                <w:rFonts w:cs="Arial"/>
                <w:color w:val="000000"/>
                <w:sz w:val="20"/>
                <w:szCs w:val="20"/>
              </w:rPr>
            </w:pPr>
            <w:r>
              <w:rPr>
                <w:rFonts w:cs="Arial"/>
                <w:color w:val="000000"/>
                <w:sz w:val="20"/>
                <w:szCs w:val="20"/>
              </w:rPr>
              <w:t>Artículo 4º-</w:t>
            </w:r>
            <w:r>
              <w:rPr>
                <w:rFonts w:cs="Arial"/>
                <w:b/>
                <w:bCs/>
                <w:color w:val="000000"/>
                <w:sz w:val="20"/>
                <w:szCs w:val="20"/>
              </w:rPr>
              <w:t>Contratos para la asignación de teléfonos celulares</w:t>
            </w:r>
            <w:r>
              <w:rPr>
                <w:rFonts w:cs="Arial"/>
                <w:color w:val="000000"/>
                <w:sz w:val="20"/>
                <w:szCs w:val="20"/>
              </w:rPr>
              <w:t xml:space="preserve">. Para la asignación y uso de los teléfonos celulares, cada uno de los funcionarios deberá suscribir un contrato, documento que será proporcionado por la Sección de Proveeduría. En dicho contrato se hará una descripción detallada de los bienes que se entregan. Además, se enunciarán las limitaciones y condiciones de uso de los bienes asignados y la aceptación de éstas por parte del funcionario. También se consignarán las obligaciones y responsabilidades a las que se compromete cada funcionario.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Los contratos que se emitan deberán ser revisados y aprobados por la Asesoría Legal del Área de Desarrollo Institucional.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rPr>
                <w:rFonts w:cs="Arial"/>
                <w:color w:val="000000"/>
                <w:sz w:val="20"/>
                <w:szCs w:val="20"/>
              </w:rPr>
            </w:pPr>
            <w:r>
              <w:rPr>
                <w:rFonts w:ascii="Verdana!important" w:hAnsi="Verdana!important" w:cs="Arial"/>
                <w:color w:val="000000"/>
                <w:sz w:val="20"/>
                <w:szCs w:val="20"/>
                <w:lang w:val="es-CR" w:eastAsia="es-CR"/>
              </w:rPr>
              <w:br w:type="page"/>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lastRenderedPageBreak/>
              <w:t>Artículo 5º-</w:t>
            </w:r>
            <w:r>
              <w:rPr>
                <w:rFonts w:cs="Arial"/>
                <w:b/>
                <w:bCs/>
                <w:color w:val="000000"/>
                <w:sz w:val="20"/>
                <w:szCs w:val="20"/>
              </w:rPr>
              <w:t>Responsabilidad de la custodia y la conservación</w:t>
            </w:r>
            <w:r>
              <w:rPr>
                <w:rFonts w:cs="Arial"/>
                <w:color w:val="000000"/>
                <w:sz w:val="20"/>
                <w:szCs w:val="20"/>
              </w:rPr>
              <w:t xml:space="preserve">. Las personas autorizadas para el uso de celulares serán responsables por el uso, custodia y conservación de los teléfonos celulares de la Procuraduría que les fueren asignados, así como por sus respectivos accesorios (baterías, cargadores, estuches, clips, manos libres, etc.).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En caso de extravío, hurto, robo, o deterioro grave, el funcionario responsable de su uso deberá comunicarlo inmediatamente, y por escrito, a la Dirección Administrativa. Si por circunstancias especiales no lo pudiere hacer formalmente, lo podrá realizar de forma verbal. En este último caso, la comunicación escrita deberá realizarse dentro del día hábil siguiente. Realizada la comunicación a la Dirección Administrativa ésta deberá gestionar de inmediato la suspensión del servicio ante el proveedor de los servicios telefónicos y poner el asunto en conocimiento del Núcleo de Recursos Humanos.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En estos casos, salvo que resulte evidente la ausencia de responsabilidad del funcionario, deberá seguirse el procedimiento administrativo ordinario regulado en la Ley General de la Administración Pública con el objeto de determinar eventuales responsabilidades civiles, de conformidad con los artículos 213 y siguientes del citado cuerpo normativo.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No será necesario seguir el procedimiento cuando el funcionario voluntariamente asuma la responsabilidad civil.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ind w:firstLine="708"/>
              <w:rPr>
                <w:rFonts w:cs="Arial"/>
                <w:color w:val="000000"/>
                <w:sz w:val="20"/>
                <w:szCs w:val="20"/>
                <w:lang w:val="es-CR"/>
              </w:rPr>
            </w:pPr>
            <w:r>
              <w:rPr>
                <w:rFonts w:cs="Arial"/>
                <w:color w:val="000000"/>
                <w:sz w:val="20"/>
                <w:szCs w:val="20"/>
                <w:lang w:val="es-CR"/>
              </w:rPr>
              <w:t>En casos especialmente graves, se podría determinar también la responsabilidad disciplinaria, conforme a lo dispuesto en el Estatuto de Servicio Civil y su reglamento.</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El desgaste natural del teléfono, por su uso, no genera responsabilidad del funcionario.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Cuando el funcionario no acepte voluntariamente la responsabilidad civil, y sea necesario abrir un procedimiento administrativo, el Núcleo de Recursos Humanos comunicará dicha circunstancia a la Jerarquía institucional, salvo en el caso del Procurador General (a), en el que la comunicación deberá realizarse al Consejo de Gobierno.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rsidP="005F3086">
            <w:pPr>
              <w:rPr>
                <w:rFonts w:cs="Arial"/>
                <w:color w:val="000000"/>
                <w:sz w:val="20"/>
                <w:szCs w:val="20"/>
                <w:lang w:val="es-CR" w:eastAsia="es-CR"/>
              </w:rPr>
            </w:pPr>
            <w:r>
              <w:rPr>
                <w:rFonts w:ascii="Verdana!important" w:hAnsi="Verdana!important" w:cs="Arial"/>
                <w:color w:val="000000"/>
                <w:sz w:val="20"/>
                <w:szCs w:val="20"/>
                <w:lang w:val="es-CR" w:eastAsia="es-CR"/>
              </w:rPr>
              <w:br w:type="page"/>
            </w:r>
            <w:r>
              <w:rPr>
                <w:rFonts w:cs="Arial"/>
                <w:color w:val="000000"/>
                <w:sz w:val="20"/>
                <w:szCs w:val="20"/>
              </w:rPr>
              <w:t>Artículo 6º-</w:t>
            </w:r>
            <w:r>
              <w:rPr>
                <w:rFonts w:cs="Arial"/>
                <w:b/>
                <w:bCs/>
                <w:color w:val="000000"/>
                <w:sz w:val="20"/>
                <w:szCs w:val="20"/>
              </w:rPr>
              <w:t>Funcionario responsable de la custodia, asignación y control de los teléfonos asignados</w:t>
            </w:r>
            <w:r>
              <w:rPr>
                <w:rFonts w:cs="Arial"/>
                <w:color w:val="000000"/>
                <w:sz w:val="20"/>
                <w:szCs w:val="20"/>
              </w:rPr>
              <w:t xml:space="preserve">. A la Dirección Administrativa le corresponde la asignación, control y fiscalización del uso de los teléfonos celulares y sus accesorios. Esa Dirección será también la encargada de gestionar ante el proveedor de los servicios de telefonía celular, los trámites de servicios nuevos, desconexiones temporales o definitivas, </w:t>
            </w:r>
            <w:r>
              <w:rPr>
                <w:rFonts w:cs="Arial"/>
                <w:color w:val="000000"/>
                <w:sz w:val="20"/>
                <w:szCs w:val="20"/>
              </w:rPr>
              <w:lastRenderedPageBreak/>
              <w:t xml:space="preserve">programación o reprogramación de líneas o teléfonos, cambios de número, entre otras diligencias necesarias.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El Encargado (a) del Control de Activos llevará un registro actualizado y detallado de los teléfonos celulares y sus accesorios. En el registro se consignará el número de teléfono, el número de serie, marca, modelo, color, número de patrimonio del teléfono y sus accesorios, el nombre, el número de cédula y el cargo del funcionario a quien se le autorizó el uso del teléfono celular, así como la fecha de su asignación y cualquier otro dato que se considere de importancia. </w:t>
            </w:r>
          </w:p>
          <w:p w:rsidR="005F3086" w:rsidRDefault="005F3086">
            <w:pPr>
              <w:pStyle w:val="Pa191"/>
              <w:spacing w:before="60"/>
              <w:ind w:firstLine="708"/>
              <w:rPr>
                <w:rFonts w:cs="Arial"/>
                <w:color w:val="000000"/>
                <w:sz w:val="20"/>
                <w:szCs w:val="20"/>
              </w:rPr>
            </w:pPr>
          </w:p>
          <w:p w:rsidR="005F3086" w:rsidRDefault="005F3086">
            <w:pPr>
              <w:pStyle w:val="Pa191"/>
              <w:spacing w:before="60"/>
              <w:ind w:firstLine="708"/>
              <w:rPr>
                <w:rFonts w:cs="Arial"/>
                <w:color w:val="000000"/>
                <w:sz w:val="20"/>
                <w:szCs w:val="20"/>
              </w:rPr>
            </w:pPr>
            <w:r>
              <w:rPr>
                <w:rFonts w:cs="Arial"/>
                <w:color w:val="000000"/>
                <w:sz w:val="20"/>
                <w:szCs w:val="20"/>
              </w:rPr>
              <w:t>Artículo 7º-</w:t>
            </w:r>
            <w:r>
              <w:rPr>
                <w:rFonts w:cs="Arial"/>
                <w:b/>
                <w:bCs/>
                <w:color w:val="000000"/>
                <w:sz w:val="20"/>
                <w:szCs w:val="20"/>
              </w:rPr>
              <w:t xml:space="preserve">Obligación de entregar el teléfono. </w:t>
            </w:r>
            <w:r>
              <w:rPr>
                <w:rFonts w:cs="Arial"/>
                <w:color w:val="000000"/>
                <w:sz w:val="20"/>
                <w:szCs w:val="20"/>
              </w:rPr>
              <w:t xml:space="preserve">El servidor público que cese en su relación de servicio, o en la función por la cual se autorizó el uso del teléfono, en forma temporal o definitiva, y que tenga asignado un teléfono celular, deberá devolverlo al Encargado (a) del Control de Activos de la Proveeduría Institucional.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El funcionario deberá hacer la entrega del aparato asignado y sus accesorios dentro de los cinco días hábiles posteriores a la fecha en que cese efectivamente en sus funciones. En caso contrario, se le apercibirá por una única vez. De persistir la negativa podrá interponerse denuncia penal por retención indebida de bienes del Estado, ante las autoridades correspondientes.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De realizarse la entrega, el Encargado del Control de Activos de la Proveeduría Institucional comunicará a la Dirección Administrativa si se reciben los bienes a satisfacción, tomando en cuenta el uso que se le haya dado. Asimismo, dicha Dirección deberá verificar si se ha excedido o no el límite autorizado. Si no se recibiera a satisfacción, o si se ha excedido el límite autorizado sin justificación válida, deberá seguirse el procedimiento y las normas de fondo indicadas en el artículo 5 de este Reglamento.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 xml:space="preserve">El Núcleo de Recursos Humanos informará al Encargado (a) del Control de Activos de la Proveeduría Institucional, cualquier movimiento de personal que involucre a funcionarios a los que se les ha asignado teléfono celular, con el fin de coordinar lo indicado en el párrafo primero anterior. Esa información deberá realizarse, a más tardar, dentro del día hábil siguiente a aquel en que el Núcleo de Recursos Humanos conozca del movimiento. Para tal efecto, el Encargado (a) del Control de Activos de la Proveeduría Institucional, remitirá una lista de dichos funcionarios al Núcleo de Recursos Humanos.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pStyle w:val="Pa191"/>
              <w:spacing w:before="60"/>
              <w:ind w:firstLine="708"/>
              <w:rPr>
                <w:rFonts w:cs="Arial"/>
                <w:color w:val="000000"/>
                <w:sz w:val="20"/>
                <w:szCs w:val="20"/>
              </w:rPr>
            </w:pPr>
            <w:r>
              <w:rPr>
                <w:rFonts w:cs="Arial"/>
                <w:color w:val="000000"/>
                <w:sz w:val="20"/>
                <w:szCs w:val="20"/>
              </w:rPr>
              <w:t>Artículo 8º-</w:t>
            </w:r>
            <w:r>
              <w:rPr>
                <w:rFonts w:cs="Arial"/>
                <w:b/>
                <w:bCs/>
                <w:color w:val="000000"/>
                <w:sz w:val="20"/>
                <w:szCs w:val="20"/>
              </w:rPr>
              <w:t>Entrega del teléfono celular en periodo de vacaciones o incapacidades</w:t>
            </w:r>
            <w:r>
              <w:rPr>
                <w:rFonts w:cs="Arial"/>
                <w:color w:val="000000"/>
                <w:sz w:val="20"/>
                <w:szCs w:val="20"/>
              </w:rPr>
              <w:t xml:space="preserve">. El funcionario que se encontrare en licencia, permiso, vacaciones o incapacitado, entregará su teléfono celular y sus accesorios al encargado del control de activos, quien los volverá a poner a disposición del servidor una vez que este se </w:t>
            </w:r>
            <w:r>
              <w:rPr>
                <w:rFonts w:cs="Arial"/>
                <w:color w:val="000000"/>
                <w:sz w:val="20"/>
                <w:szCs w:val="20"/>
              </w:rPr>
              <w:lastRenderedPageBreak/>
              <w:t xml:space="preserve">reincorpore al servicio efectivo a la Institución, salvo que el Procurador General o el Procurador General Adjunto consideren conveniente que el funcionario mantenga el servicio para garantizar la comunicación y normal funcionamiento de la Institución. Se exceptúa al Procurador General y al Procurador General Adjunto que mantendrán el uso del servicio. </w:t>
            </w:r>
          </w:p>
          <w:p w:rsidR="005F3086" w:rsidRDefault="005F3086">
            <w:pPr>
              <w:pStyle w:val="Pa191"/>
              <w:spacing w:before="60"/>
              <w:ind w:firstLine="708"/>
              <w:rPr>
                <w:rFonts w:cs="Arial"/>
                <w:color w:val="000000"/>
                <w:sz w:val="20"/>
                <w:szCs w:val="20"/>
              </w:rPr>
            </w:pPr>
          </w:p>
          <w:p w:rsidR="005F3086" w:rsidRDefault="005F3086">
            <w:pPr>
              <w:pStyle w:val="Pa191"/>
              <w:spacing w:before="60"/>
              <w:ind w:firstLine="708"/>
              <w:rPr>
                <w:rFonts w:cs="Arial"/>
                <w:color w:val="000000"/>
                <w:sz w:val="20"/>
                <w:szCs w:val="20"/>
              </w:rPr>
            </w:pPr>
            <w:r>
              <w:rPr>
                <w:rFonts w:cs="Arial"/>
                <w:color w:val="000000"/>
                <w:sz w:val="20"/>
                <w:szCs w:val="20"/>
              </w:rPr>
              <w:t>Artículo 9º-</w:t>
            </w:r>
            <w:r>
              <w:rPr>
                <w:rFonts w:cs="Arial"/>
                <w:b/>
                <w:bCs/>
                <w:color w:val="000000"/>
                <w:sz w:val="20"/>
                <w:szCs w:val="20"/>
              </w:rPr>
              <w:t>Uso exclusivo</w:t>
            </w:r>
            <w:r>
              <w:rPr>
                <w:rFonts w:cs="Arial"/>
                <w:color w:val="000000"/>
                <w:sz w:val="20"/>
                <w:szCs w:val="20"/>
              </w:rPr>
              <w:t xml:space="preserve">. El teléfono celular es de uso exclusivo del funcionario público al que se le asignó, para atender y realizar llamadas relativas al cumplimiento de las funciones, tareas y actividades propias de su cargo. En consecuencia, queda terminantemente prohibido el trasiego o préstamo de teléfonos celulares, de una persona a otra. </w:t>
            </w:r>
          </w:p>
          <w:p w:rsidR="005F3086" w:rsidRDefault="005F308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p>
          <w:p w:rsidR="005F3086" w:rsidRDefault="005F3086">
            <w:pPr>
              <w:ind w:firstLine="708"/>
              <w:rPr>
                <w:rFonts w:cs="Arial"/>
                <w:color w:val="000000"/>
                <w:sz w:val="20"/>
                <w:szCs w:val="20"/>
                <w:lang w:val="es-CR"/>
              </w:rPr>
            </w:pPr>
            <w:r>
              <w:rPr>
                <w:rFonts w:cs="Arial"/>
                <w:color w:val="000000"/>
                <w:sz w:val="20"/>
                <w:szCs w:val="20"/>
                <w:lang w:val="es-CR"/>
              </w:rPr>
              <w:t>Artículo 10.-</w:t>
            </w:r>
            <w:r>
              <w:rPr>
                <w:rFonts w:cs="Arial"/>
                <w:b/>
                <w:bCs/>
                <w:color w:val="000000"/>
                <w:sz w:val="20"/>
                <w:szCs w:val="20"/>
                <w:lang w:val="es-CR"/>
              </w:rPr>
              <w:t>Restricciones de asignación</w:t>
            </w:r>
            <w:r>
              <w:rPr>
                <w:rFonts w:cs="Arial"/>
                <w:color w:val="000000"/>
                <w:sz w:val="20"/>
                <w:szCs w:val="20"/>
                <w:lang w:val="es-CR"/>
              </w:rPr>
              <w:t>. Ningún funcionario público podrá tener asignado más de un teléfono celular, ni gozar de más de un servicio de pago de mensualidad.</w:t>
            </w:r>
          </w:p>
          <w:p w:rsidR="005F3086" w:rsidRDefault="005F308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p>
          <w:p w:rsidR="005F3086" w:rsidRDefault="005F3086" w:rsidP="00F67290">
            <w:pPr>
              <w:pStyle w:val="Pa191"/>
              <w:spacing w:before="60"/>
              <w:ind w:firstLine="708"/>
              <w:jc w:val="both"/>
              <w:rPr>
                <w:rFonts w:cs="Arial"/>
                <w:color w:val="000000"/>
                <w:sz w:val="20"/>
                <w:szCs w:val="20"/>
              </w:rPr>
            </w:pPr>
            <w:r>
              <w:rPr>
                <w:rFonts w:cs="Arial"/>
                <w:color w:val="000000"/>
                <w:sz w:val="20"/>
                <w:szCs w:val="20"/>
              </w:rPr>
              <w:t>Artículo 11.-</w:t>
            </w:r>
            <w:r>
              <w:rPr>
                <w:rFonts w:cs="Arial"/>
                <w:b/>
                <w:bCs/>
                <w:color w:val="000000"/>
                <w:sz w:val="20"/>
                <w:szCs w:val="20"/>
              </w:rPr>
              <w:t>Tarifa a reconocer por la Procuraduría</w:t>
            </w:r>
            <w:r>
              <w:rPr>
                <w:rFonts w:cs="Arial"/>
                <w:color w:val="000000"/>
                <w:sz w:val="20"/>
                <w:szCs w:val="20"/>
              </w:rPr>
              <w:t xml:space="preserve">. La tarifa que se reconocerá es la correspondiente al plan que contrate la Procuraduría para cada funcionario. En el caso del Procurador (a) General, el Procurador (a) General Adjunto (a), el Director (a) de Desarrollo Institucional y el Encargado (a) de Prensa, este plan podría incluir el servicio de internet y de descarga de datos móviles. El exceso de consumo con respecto a la tarifa autorizada debe ser cubierto por el funcionario que tiene asignado el teléfono. La Dirección Administrativa prevendrá por una única vez que se proceda a su cancelación. De no realizarse dicho pago se seguirá el procedimiento establecido en el artículo 5 y las normas de fondo que allí se indican. </w:t>
            </w:r>
          </w:p>
          <w:p w:rsidR="005F3086" w:rsidRDefault="005F3086" w:rsidP="00F67290">
            <w:pPr>
              <w:pStyle w:val="Pa191"/>
              <w:spacing w:before="60"/>
              <w:ind w:firstLine="708"/>
              <w:jc w:val="both"/>
              <w:rPr>
                <w:rFonts w:cs="Arial"/>
                <w:color w:val="000000"/>
                <w:sz w:val="20"/>
                <w:szCs w:val="20"/>
              </w:rPr>
            </w:pPr>
          </w:p>
          <w:p w:rsidR="005F3086" w:rsidRDefault="005F3086" w:rsidP="00F67290">
            <w:pPr>
              <w:pStyle w:val="Pa191"/>
              <w:spacing w:before="60"/>
              <w:ind w:firstLine="708"/>
              <w:jc w:val="both"/>
              <w:rPr>
                <w:rFonts w:cs="Arial"/>
                <w:color w:val="000000"/>
                <w:sz w:val="20"/>
                <w:szCs w:val="20"/>
              </w:rPr>
            </w:pPr>
            <w:r>
              <w:rPr>
                <w:rFonts w:cs="Arial"/>
                <w:color w:val="000000"/>
                <w:sz w:val="20"/>
                <w:szCs w:val="20"/>
              </w:rPr>
              <w:t>Artículo 12.-</w:t>
            </w:r>
            <w:r>
              <w:rPr>
                <w:rFonts w:cs="Arial"/>
                <w:b/>
                <w:bCs/>
                <w:color w:val="000000"/>
                <w:sz w:val="20"/>
                <w:szCs w:val="20"/>
              </w:rPr>
              <w:t>La asignación de los teléfonos no genera derechos</w:t>
            </w:r>
            <w:r>
              <w:rPr>
                <w:rFonts w:cs="Arial"/>
                <w:color w:val="000000"/>
                <w:sz w:val="20"/>
                <w:szCs w:val="20"/>
              </w:rPr>
              <w:t xml:space="preserve">. La asignación del teléfono y del respectivo servicio no crea derechos, no se considerará parte del salario, ni como atribución o beneficio personal. En consecuencia, el (la) Procurador (a) General o el (la) Procurador (a) General Adjunto (a) pueden retirar su uso o el servicio en cualquier momento, sea porque desaparezca la necesidad institucional, por incumplimiento de las disposiciones de este Reglamento, por limitaciones presupuestarias o por cualquier otra razón que discrecionalmente se determine. </w:t>
            </w:r>
          </w:p>
          <w:p w:rsidR="005F3086" w:rsidRDefault="005F3086" w:rsidP="00F67290">
            <w:pPr>
              <w:rPr>
                <w:rFonts w:cs="Arial"/>
                <w:color w:val="000000"/>
                <w:sz w:val="20"/>
                <w:szCs w:val="20"/>
              </w:rPr>
            </w:pPr>
          </w:p>
          <w:p w:rsidR="005F3086" w:rsidRDefault="005F3086" w:rsidP="00F67290">
            <w:pPr>
              <w:pStyle w:val="Pa191"/>
              <w:spacing w:before="60"/>
              <w:ind w:firstLine="708"/>
              <w:jc w:val="both"/>
              <w:rPr>
                <w:rFonts w:cs="Arial"/>
                <w:color w:val="000000"/>
                <w:sz w:val="20"/>
                <w:szCs w:val="20"/>
              </w:rPr>
            </w:pPr>
            <w:r>
              <w:rPr>
                <w:rFonts w:cs="Arial"/>
                <w:color w:val="000000"/>
                <w:sz w:val="20"/>
                <w:szCs w:val="20"/>
              </w:rPr>
              <w:t>Artículo 13.-</w:t>
            </w:r>
            <w:r>
              <w:rPr>
                <w:rFonts w:cs="Arial"/>
                <w:b/>
                <w:bCs/>
                <w:color w:val="000000"/>
                <w:sz w:val="20"/>
                <w:szCs w:val="20"/>
              </w:rPr>
              <w:t>Sanciones</w:t>
            </w:r>
            <w:r>
              <w:rPr>
                <w:rFonts w:cs="Arial"/>
                <w:color w:val="000000"/>
                <w:sz w:val="20"/>
                <w:szCs w:val="20"/>
              </w:rPr>
              <w:t xml:space="preserve">. El incumplimiento de las disposiciones contenidas en el presente Reglamento hará acreedor al funcionario público de las medidas civiles y disciplinarias correspondientes, sin perjuicio de cualquier otro tipo de responsabilidad que conforme al ordenamiento jurídico le sean aplicables. </w:t>
            </w:r>
          </w:p>
          <w:p w:rsidR="005F3086" w:rsidRDefault="005F3086" w:rsidP="00F67290">
            <w:pPr>
              <w:spacing w:after="240"/>
              <w:rPr>
                <w:rFonts w:ascii="Arial" w:eastAsia="Times New Roman" w:hAnsi="Arial" w:cs="Arial"/>
                <w:color w:val="000000"/>
                <w:sz w:val="20"/>
                <w:szCs w:val="20"/>
                <w:lang w:val="es-CR" w:eastAsia="es-CR"/>
              </w:rPr>
            </w:pPr>
          </w:p>
          <w:p w:rsidR="005F3086" w:rsidRDefault="005F3086">
            <w:pPr>
              <w:rPr>
                <w:rFonts w:cs="Arial"/>
                <w:color w:val="000000"/>
                <w:sz w:val="20"/>
                <w:szCs w:val="20"/>
              </w:rPr>
            </w:pPr>
            <w:r>
              <w:rPr>
                <w:rFonts w:ascii="Verdana!important" w:hAnsi="Verdana!important" w:cs="Arial"/>
                <w:color w:val="000000"/>
                <w:sz w:val="20"/>
                <w:szCs w:val="20"/>
                <w:lang w:val="es-CR" w:eastAsia="es-CR"/>
              </w:rPr>
              <w:br w:type="page"/>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hyperlink r:id="rId7" w:tgtFrame="_top" w:history="1">
              <w:r>
                <w:rPr>
                  <w:rStyle w:val="Hipervnculo"/>
                  <w:rFonts w:eastAsia="Times New Roman" w:cs="Arial"/>
                  <w:b/>
                  <w:bCs/>
                  <w:color w:val="31639C"/>
                  <w:sz w:val="16"/>
                  <w:szCs w:val="16"/>
                  <w:bdr w:val="none" w:sz="0" w:space="0" w:color="auto" w:frame="1"/>
                  <w:lang w:val="es-CR" w:eastAsia="es-CR"/>
                </w:rPr>
                <w:t>Ficha articulo</w:t>
              </w:r>
            </w:hyperlink>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5F3086" w:rsidRDefault="005F3086">
            <w:pPr>
              <w:pStyle w:val="Pa191"/>
              <w:spacing w:before="60"/>
              <w:ind w:firstLine="708"/>
              <w:rPr>
                <w:rFonts w:cs="Arial"/>
                <w:color w:val="000000"/>
                <w:sz w:val="20"/>
                <w:szCs w:val="20"/>
              </w:rPr>
            </w:pPr>
            <w:r>
              <w:rPr>
                <w:rFonts w:cs="Arial"/>
                <w:color w:val="000000"/>
                <w:sz w:val="20"/>
                <w:szCs w:val="20"/>
              </w:rPr>
              <w:t>Artículo 14.-</w:t>
            </w:r>
            <w:r>
              <w:rPr>
                <w:rFonts w:cs="Arial"/>
                <w:b/>
                <w:bCs/>
                <w:color w:val="000000"/>
                <w:sz w:val="20"/>
                <w:szCs w:val="20"/>
              </w:rPr>
              <w:t>Vigencia</w:t>
            </w:r>
            <w:r>
              <w:rPr>
                <w:rFonts w:cs="Arial"/>
                <w:color w:val="000000"/>
                <w:sz w:val="20"/>
                <w:szCs w:val="20"/>
              </w:rPr>
              <w:t xml:space="preserve">. Este Reglamento rige a partir de su publicación. </w:t>
            </w:r>
          </w:p>
          <w:p w:rsidR="005F3086" w:rsidRDefault="005F3086">
            <w:pPr>
              <w:spacing w:after="240"/>
              <w:jc w:val="left"/>
              <w:rPr>
                <w:rFonts w:ascii="Arial" w:eastAsia="Times New Roman" w:hAnsi="Arial" w:cs="Arial"/>
                <w:color w:val="000000"/>
                <w:sz w:val="20"/>
                <w:szCs w:val="20"/>
                <w:lang w:val="es-CR" w:eastAsia="es-CR"/>
              </w:rPr>
            </w:pPr>
          </w:p>
          <w:p w:rsidR="005F3086" w:rsidRDefault="005F3086">
            <w:pPr>
              <w:ind w:firstLine="708"/>
              <w:rPr>
                <w:rFonts w:cs="Arial"/>
                <w:color w:val="000000"/>
                <w:sz w:val="20"/>
                <w:szCs w:val="20"/>
                <w:lang w:val="es-CR"/>
              </w:rPr>
            </w:pPr>
            <w:r>
              <w:rPr>
                <w:rFonts w:cs="Arial"/>
                <w:color w:val="000000"/>
                <w:sz w:val="20"/>
                <w:szCs w:val="20"/>
                <w:lang w:val="es-CR"/>
              </w:rPr>
              <w:t>Dado en la Presidencia de la República.-San José, a los treinta días del mes de julio del año dos mil trece.</w:t>
            </w:r>
          </w:p>
        </w:tc>
        <w:tc>
          <w:tcPr>
            <w:tcW w:w="0" w:type="auto"/>
            <w:tcMar>
              <w:top w:w="0" w:type="dxa"/>
              <w:left w:w="0" w:type="dxa"/>
              <w:bottom w:w="0" w:type="dxa"/>
              <w:right w:w="0" w:type="dxa"/>
            </w:tcMar>
            <w:vAlign w:val="center"/>
            <w:hideMark/>
          </w:tcPr>
          <w:p w:rsidR="005F3086" w:rsidRDefault="005F3086">
            <w:pPr>
              <w:jc w:val="left"/>
              <w:rPr>
                <w:rFonts w:ascii="Times New Roman" w:eastAsia="Times New Roman" w:hAnsi="Times New Roman"/>
                <w:sz w:val="20"/>
                <w:szCs w:val="20"/>
                <w:lang w:val="es-CR" w:eastAsia="es-CR"/>
              </w:rPr>
            </w:pPr>
          </w:p>
        </w:tc>
      </w:tr>
    </w:tbl>
    <w:p w:rsidR="00162EAE" w:rsidRDefault="00162EAE" w:rsidP="005254EC"/>
    <w:p w:rsidR="00FB5DD1" w:rsidRPr="005254EC" w:rsidRDefault="00FB5DD1" w:rsidP="005254EC"/>
    <w:sectPr w:rsidR="00FB5DD1" w:rsidRPr="005254EC" w:rsidSect="007D607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6C0" w:rsidRDefault="002316C0">
      <w:r>
        <w:separator/>
      </w:r>
    </w:p>
  </w:endnote>
  <w:endnote w:type="continuationSeparator" w:id="0">
    <w:p w:rsidR="002316C0" w:rsidRDefault="0023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importa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83C" w:rsidRDefault="00FC283C" w:rsidP="005048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C283C" w:rsidRDefault="00FC283C" w:rsidP="00FC283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527" w:rsidRDefault="00673527" w:rsidP="00673527">
    <w:pPr>
      <w:pStyle w:val="Encabezado"/>
      <w:rPr>
        <w:noProof/>
      </w:rPr>
    </w:pPr>
  </w:p>
  <w:p w:rsidR="00673527" w:rsidRDefault="00673527" w:rsidP="00673527"/>
  <w:p w:rsidR="00673527" w:rsidRDefault="00673527" w:rsidP="00673527">
    <w:pPr>
      <w:pStyle w:val="Piedepgina"/>
      <w:ind w:right="-22"/>
      <w:jc w:val="center"/>
      <w:rPr>
        <w:rFonts w:ascii="Tahoma" w:hAnsi="Tahoma"/>
        <w:sz w:val="16"/>
        <w:szCs w:val="16"/>
        <w:lang w:val="es-MX"/>
      </w:rPr>
    </w:pPr>
  </w:p>
  <w:p w:rsidR="00673527" w:rsidRPr="00F5193D" w:rsidRDefault="00673527" w:rsidP="00673527">
    <w:pPr>
      <w:pStyle w:val="Piedepgina"/>
      <w:ind w:right="-22"/>
      <w:jc w:val="center"/>
      <w:rPr>
        <w:rFonts w:ascii="Tahoma" w:hAnsi="Tahoma"/>
        <w:sz w:val="16"/>
        <w:szCs w:val="16"/>
        <w:lang w:val="es-MX"/>
      </w:rPr>
    </w:pPr>
  </w:p>
  <w:p w:rsidR="00673527" w:rsidRPr="00F5193D" w:rsidRDefault="00673527" w:rsidP="00673527">
    <w:pPr>
      <w:pStyle w:val="Piedepgina"/>
      <w:pBdr>
        <w:top w:val="single" w:sz="4" w:space="1" w:color="auto"/>
      </w:pBdr>
      <w:ind w:right="-22"/>
      <w:jc w:val="center"/>
      <w:rPr>
        <w:rFonts w:ascii="Tahoma" w:hAnsi="Tahoma"/>
        <w:sz w:val="16"/>
        <w:szCs w:val="16"/>
        <w:lang w:val="es-MX"/>
      </w:rPr>
    </w:pPr>
  </w:p>
  <w:p w:rsidR="00673527" w:rsidRDefault="00673527" w:rsidP="00673527">
    <w:pPr>
      <w:pStyle w:val="Piedepgina"/>
      <w:ind w:right="-22"/>
      <w:jc w:val="center"/>
      <w:rPr>
        <w:rFonts w:ascii="Tahoma" w:hAnsi="Tahoma"/>
        <w:sz w:val="16"/>
        <w:szCs w:val="16"/>
        <w:lang w:val="es-MX"/>
      </w:rPr>
    </w:pPr>
    <w:r w:rsidRPr="00F5193D">
      <w:rPr>
        <w:rFonts w:ascii="Tahoma" w:hAnsi="Tahoma"/>
        <w:sz w:val="16"/>
        <w:szCs w:val="16"/>
        <w:lang w:val="es-MX"/>
      </w:rPr>
      <w:t xml:space="preserve">Dirección: San José, Avenidas </w:t>
    </w:r>
    <w:r w:rsidR="00FB5DD1">
      <w:rPr>
        <w:rFonts w:ascii="Tahoma" w:hAnsi="Tahoma"/>
        <w:sz w:val="16"/>
        <w:szCs w:val="16"/>
        <w:lang w:val="es-MX"/>
      </w:rPr>
      <w:t>9</w:t>
    </w:r>
    <w:r>
      <w:rPr>
        <w:rFonts w:ascii="Tahoma" w:hAnsi="Tahoma"/>
        <w:sz w:val="16"/>
        <w:szCs w:val="16"/>
        <w:lang w:val="es-MX"/>
      </w:rPr>
      <w:t>, calle 1,</w:t>
    </w:r>
    <w:r w:rsidRPr="004B298D">
      <w:t xml:space="preserve"> </w:t>
    </w:r>
    <w:r>
      <w:rPr>
        <w:rFonts w:ascii="Tahoma" w:hAnsi="Tahoma"/>
        <w:sz w:val="16"/>
        <w:szCs w:val="16"/>
        <w:lang w:val="es-MX"/>
      </w:rPr>
      <w:t>200 oeste del INVU (Barrio Amón</w:t>
    </w:r>
    <w:r w:rsidRPr="004B298D">
      <w:rPr>
        <w:rFonts w:ascii="Tahoma" w:hAnsi="Tahoma"/>
        <w:sz w:val="16"/>
        <w:szCs w:val="16"/>
        <w:lang w:val="es-MX"/>
      </w:rPr>
      <w:t>)</w:t>
    </w:r>
    <w:r>
      <w:rPr>
        <w:rFonts w:ascii="Tahoma" w:hAnsi="Tahoma"/>
        <w:sz w:val="16"/>
        <w:szCs w:val="16"/>
        <w:lang w:val="es-MX"/>
      </w:rPr>
      <w:t>,</w:t>
    </w:r>
    <w:r w:rsidRPr="004B298D">
      <w:rPr>
        <w:rFonts w:ascii="Tahoma" w:hAnsi="Tahoma"/>
        <w:sz w:val="16"/>
        <w:szCs w:val="16"/>
        <w:lang w:val="es-MX"/>
      </w:rPr>
      <w:t xml:space="preserve"> </w:t>
    </w:r>
    <w:r>
      <w:rPr>
        <w:rFonts w:ascii="Tahoma" w:hAnsi="Tahoma"/>
        <w:sz w:val="16"/>
        <w:szCs w:val="16"/>
        <w:lang w:val="es-MX"/>
      </w:rPr>
      <w:t xml:space="preserve"> Internet </w:t>
    </w:r>
    <w:hyperlink r:id="rId1" w:history="1">
      <w:r w:rsidRPr="000468D5">
        <w:rPr>
          <w:rStyle w:val="Hipervnculo"/>
          <w:rFonts w:ascii="Tahoma" w:hAnsi="Tahoma"/>
          <w:sz w:val="16"/>
          <w:szCs w:val="16"/>
          <w:lang w:val="es-MX"/>
        </w:rPr>
        <w:t>Http://www.pgr.go.cr</w:t>
      </w:r>
    </w:hyperlink>
    <w:r>
      <w:rPr>
        <w:rFonts w:ascii="Tahoma" w:hAnsi="Tahoma"/>
        <w:sz w:val="16"/>
        <w:szCs w:val="16"/>
        <w:lang w:val="es-MX"/>
      </w:rPr>
      <w:t xml:space="preserve">  </w:t>
    </w:r>
  </w:p>
  <w:p w:rsidR="00673527" w:rsidRPr="00F5193D" w:rsidRDefault="00673527" w:rsidP="00673527">
    <w:pPr>
      <w:pStyle w:val="Piedepgina"/>
      <w:ind w:right="-22"/>
      <w:jc w:val="center"/>
      <w:rPr>
        <w:rFonts w:ascii="Tahoma" w:hAnsi="Tahoma"/>
        <w:sz w:val="16"/>
        <w:szCs w:val="16"/>
        <w:lang w:val="es-MX"/>
      </w:rPr>
    </w:pPr>
    <w:r w:rsidRPr="00F5193D">
      <w:rPr>
        <w:rFonts w:ascii="Tahoma" w:hAnsi="Tahoma"/>
        <w:sz w:val="16"/>
        <w:szCs w:val="16"/>
        <w:lang w:val="es-MX"/>
      </w:rPr>
      <w:t>Apdo. 78-1003 La Corte. Teléfono 2243-</w:t>
    </w:r>
    <w:r>
      <w:rPr>
        <w:rFonts w:ascii="Tahoma" w:hAnsi="Tahoma"/>
        <w:sz w:val="16"/>
        <w:szCs w:val="16"/>
        <w:lang w:val="es-MX"/>
      </w:rPr>
      <w:t>8340, faxes 2258-5220</w:t>
    </w:r>
  </w:p>
  <w:p w:rsidR="009A2658" w:rsidRDefault="009A2658">
    <w:pPr>
      <w:pStyle w:val="Piedepgina"/>
      <w:rPr>
        <w:lang w:val="es-MX"/>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E2" w:rsidRDefault="00817EE2" w:rsidP="00817EE2">
    <w:pPr>
      <w:pStyle w:val="Piedepgina"/>
      <w:ind w:right="-22"/>
      <w:jc w:val="center"/>
      <w:rPr>
        <w:rFonts w:ascii="Tahoma" w:hAnsi="Tahoma"/>
        <w:sz w:val="16"/>
        <w:szCs w:val="16"/>
        <w:lang w:val="es-MX"/>
      </w:rPr>
    </w:pPr>
  </w:p>
  <w:p w:rsidR="00673527" w:rsidRPr="00F5193D" w:rsidRDefault="00673527" w:rsidP="00817EE2">
    <w:pPr>
      <w:pStyle w:val="Piedepgina"/>
      <w:ind w:right="-22"/>
      <w:jc w:val="center"/>
      <w:rPr>
        <w:rFonts w:ascii="Tahoma" w:hAnsi="Tahoma"/>
        <w:sz w:val="16"/>
        <w:szCs w:val="16"/>
        <w:lang w:val="es-MX"/>
      </w:rPr>
    </w:pPr>
  </w:p>
  <w:p w:rsidR="00817EE2" w:rsidRPr="00F5193D" w:rsidRDefault="00817EE2" w:rsidP="00817EE2">
    <w:pPr>
      <w:pStyle w:val="Piedepgina"/>
      <w:pBdr>
        <w:top w:val="single" w:sz="4" w:space="1" w:color="auto"/>
      </w:pBdr>
      <w:ind w:right="-22"/>
      <w:jc w:val="center"/>
      <w:rPr>
        <w:rFonts w:ascii="Tahoma" w:hAnsi="Tahoma"/>
        <w:sz w:val="16"/>
        <w:szCs w:val="16"/>
        <w:lang w:val="es-MX"/>
      </w:rPr>
    </w:pPr>
  </w:p>
  <w:p w:rsidR="001979CA" w:rsidRDefault="00817EE2" w:rsidP="001979CA">
    <w:pPr>
      <w:pStyle w:val="Piedepgina"/>
      <w:ind w:right="-22"/>
      <w:jc w:val="center"/>
      <w:rPr>
        <w:rFonts w:ascii="Tahoma" w:hAnsi="Tahoma"/>
        <w:sz w:val="16"/>
        <w:szCs w:val="16"/>
        <w:lang w:val="es-MX"/>
      </w:rPr>
    </w:pPr>
    <w:r w:rsidRPr="00F5193D">
      <w:rPr>
        <w:rFonts w:ascii="Tahoma" w:hAnsi="Tahoma"/>
        <w:sz w:val="16"/>
        <w:szCs w:val="16"/>
        <w:lang w:val="es-MX"/>
      </w:rPr>
      <w:t xml:space="preserve">Dirección: San José, Avenidas </w:t>
    </w:r>
    <w:r w:rsidR="00A547A3">
      <w:rPr>
        <w:rFonts w:ascii="Tahoma" w:hAnsi="Tahoma"/>
        <w:sz w:val="16"/>
        <w:szCs w:val="16"/>
        <w:lang w:val="es-MX"/>
      </w:rPr>
      <w:t>9</w:t>
    </w:r>
    <w:r w:rsidR="004B298D">
      <w:rPr>
        <w:rFonts w:ascii="Tahoma" w:hAnsi="Tahoma"/>
        <w:sz w:val="16"/>
        <w:szCs w:val="16"/>
        <w:lang w:val="es-MX"/>
      </w:rPr>
      <w:t>, calle 1</w:t>
    </w:r>
    <w:r w:rsidR="001979CA">
      <w:rPr>
        <w:rFonts w:ascii="Tahoma" w:hAnsi="Tahoma"/>
        <w:sz w:val="16"/>
        <w:szCs w:val="16"/>
        <w:lang w:val="es-MX"/>
      </w:rPr>
      <w:t>,</w:t>
    </w:r>
    <w:r w:rsidR="004B298D" w:rsidRPr="004B298D">
      <w:t xml:space="preserve"> </w:t>
    </w:r>
    <w:r w:rsidR="004B298D">
      <w:rPr>
        <w:rFonts w:ascii="Tahoma" w:hAnsi="Tahoma"/>
        <w:sz w:val="16"/>
        <w:szCs w:val="16"/>
        <w:lang w:val="es-MX"/>
      </w:rPr>
      <w:t>200 oeste del INVU (Barrio Amón</w:t>
    </w:r>
    <w:r w:rsidR="004B298D" w:rsidRPr="004B298D">
      <w:rPr>
        <w:rFonts w:ascii="Tahoma" w:hAnsi="Tahoma"/>
        <w:sz w:val="16"/>
        <w:szCs w:val="16"/>
        <w:lang w:val="es-MX"/>
      </w:rPr>
      <w:t>)</w:t>
    </w:r>
    <w:r w:rsidR="004B298D">
      <w:rPr>
        <w:rFonts w:ascii="Tahoma" w:hAnsi="Tahoma"/>
        <w:sz w:val="16"/>
        <w:szCs w:val="16"/>
        <w:lang w:val="es-MX"/>
      </w:rPr>
      <w:t>,</w:t>
    </w:r>
    <w:r w:rsidR="004B298D" w:rsidRPr="004B298D">
      <w:rPr>
        <w:rFonts w:ascii="Tahoma" w:hAnsi="Tahoma"/>
        <w:sz w:val="16"/>
        <w:szCs w:val="16"/>
        <w:lang w:val="es-MX"/>
      </w:rPr>
      <w:t xml:space="preserve"> </w:t>
    </w:r>
    <w:r w:rsidR="001979CA">
      <w:rPr>
        <w:rFonts w:ascii="Tahoma" w:hAnsi="Tahoma"/>
        <w:sz w:val="16"/>
        <w:szCs w:val="16"/>
        <w:lang w:val="es-MX"/>
      </w:rPr>
      <w:t xml:space="preserve"> Internet </w:t>
    </w:r>
    <w:hyperlink r:id="rId1" w:history="1">
      <w:r w:rsidR="001979CA" w:rsidRPr="000468D5">
        <w:rPr>
          <w:rStyle w:val="Hipervnculo"/>
          <w:rFonts w:ascii="Tahoma" w:hAnsi="Tahoma"/>
          <w:sz w:val="16"/>
          <w:szCs w:val="16"/>
          <w:lang w:val="es-MX"/>
        </w:rPr>
        <w:t>Http://www.pgr.go.cr</w:t>
      </w:r>
    </w:hyperlink>
    <w:r w:rsidR="001979CA">
      <w:rPr>
        <w:rFonts w:ascii="Tahoma" w:hAnsi="Tahoma"/>
        <w:sz w:val="16"/>
        <w:szCs w:val="16"/>
        <w:lang w:val="es-MX"/>
      </w:rPr>
      <w:t xml:space="preserve">  </w:t>
    </w:r>
  </w:p>
  <w:p w:rsidR="00817EE2" w:rsidRPr="00F5193D" w:rsidRDefault="00817EE2" w:rsidP="001979CA">
    <w:pPr>
      <w:pStyle w:val="Piedepgina"/>
      <w:ind w:right="-22"/>
      <w:jc w:val="center"/>
      <w:rPr>
        <w:rFonts w:ascii="Tahoma" w:hAnsi="Tahoma"/>
        <w:sz w:val="16"/>
        <w:szCs w:val="16"/>
        <w:lang w:val="es-MX"/>
      </w:rPr>
    </w:pPr>
    <w:r w:rsidRPr="00F5193D">
      <w:rPr>
        <w:rFonts w:ascii="Tahoma" w:hAnsi="Tahoma"/>
        <w:sz w:val="16"/>
        <w:szCs w:val="16"/>
        <w:lang w:val="es-MX"/>
      </w:rPr>
      <w:t>Apdo. 78-1003 La Corte. Teléfono 2243-</w:t>
    </w:r>
    <w:r w:rsidR="005B5870">
      <w:rPr>
        <w:rFonts w:ascii="Tahoma" w:hAnsi="Tahoma"/>
        <w:sz w:val="16"/>
        <w:szCs w:val="16"/>
        <w:lang w:val="es-MX"/>
      </w:rPr>
      <w:t>8340</w:t>
    </w:r>
    <w:r w:rsidR="001979CA">
      <w:rPr>
        <w:rFonts w:ascii="Tahoma" w:hAnsi="Tahoma"/>
        <w:sz w:val="16"/>
        <w:szCs w:val="16"/>
        <w:lang w:val="es-MX"/>
      </w:rPr>
      <w:t>, faxes 2258-5220</w:t>
    </w:r>
  </w:p>
  <w:p w:rsidR="00FC283C" w:rsidRPr="00817EE2" w:rsidRDefault="00FC283C" w:rsidP="00817EE2">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6C0" w:rsidRDefault="002316C0">
      <w:r>
        <w:separator/>
      </w:r>
    </w:p>
  </w:footnote>
  <w:footnote w:type="continuationSeparator" w:id="0">
    <w:p w:rsidR="002316C0" w:rsidRDefault="002316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DD1" w:rsidRDefault="00FB5DD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58" w:rsidRDefault="005F3D7D" w:rsidP="005F3D7D">
    <w:pPr>
      <w:pStyle w:val="Encabezado"/>
      <w:jc w:val="right"/>
      <w:rPr>
        <w:noProof/>
      </w:rPr>
    </w:pPr>
    <w:r w:rsidRPr="00DA7F74">
      <w:rPr>
        <w:noProof/>
      </w:rPr>
      <w:tab/>
    </w:r>
  </w:p>
  <w:p w:rsidR="008F1831" w:rsidRDefault="0029296F" w:rsidP="009E6FBF">
    <w:pPr>
      <w:pStyle w:val="Encabezado"/>
      <w:jc w:val="center"/>
    </w:pPr>
    <w:r>
      <w:rPr>
        <w:noProof/>
        <w:lang w:val="es-CR" w:eastAsia="es-CR"/>
      </w:rPr>
      <w:drawing>
        <wp:inline distT="0" distB="0" distL="0" distR="0">
          <wp:extent cx="5610225" cy="409575"/>
          <wp:effectExtent l="0" t="0" r="0" b="0"/>
          <wp:docPr id="1" name="Imagen 1"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409575"/>
                  </a:xfrm>
                  <a:prstGeom prst="rect">
                    <a:avLst/>
                  </a:prstGeom>
                  <a:noFill/>
                  <a:ln>
                    <a:noFill/>
                  </a:ln>
                </pic:spPr>
              </pic:pic>
            </a:graphicData>
          </a:graphic>
        </wp:inline>
      </w:drawing>
    </w:r>
    <w:r w:rsidR="009E6FBF">
      <w:rPr>
        <w:noProof/>
      </w:rPr>
      <w:t xml:space="preserve">   </w:t>
    </w:r>
    <w:r w:rsidR="009E6FBF">
      <w:rPr>
        <w:rStyle w:val="Nmerodepgina"/>
      </w:rPr>
      <w:fldChar w:fldCharType="begin"/>
    </w:r>
    <w:r w:rsidR="009E6FBF">
      <w:rPr>
        <w:rStyle w:val="Nmerodepgina"/>
      </w:rPr>
      <w:instrText xml:space="preserve"> PAGE </w:instrText>
    </w:r>
    <w:r w:rsidR="009E6FBF">
      <w:rPr>
        <w:rStyle w:val="Nmerodepgina"/>
      </w:rPr>
      <w:fldChar w:fldCharType="separate"/>
    </w:r>
    <w:r w:rsidR="00927060">
      <w:rPr>
        <w:rStyle w:val="Nmerodepgina"/>
        <w:noProof/>
      </w:rPr>
      <w:t>6</w:t>
    </w:r>
    <w:r w:rsidR="009E6FBF">
      <w:rPr>
        <w:rStyle w:val="Nmerodepgina"/>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83C" w:rsidRDefault="0029296F" w:rsidP="003263FF">
    <w:pPr>
      <w:pStyle w:val="Encabezado"/>
      <w:ind w:left="-540"/>
      <w:jc w:val="center"/>
      <w:rPr>
        <w:noProof/>
      </w:rPr>
    </w:pPr>
    <w:r>
      <w:rPr>
        <w:noProof/>
        <w:lang w:val="es-CR" w:eastAsia="es-CR"/>
      </w:rPr>
      <w:drawing>
        <wp:inline distT="0" distB="0" distL="0" distR="0">
          <wp:extent cx="7077075" cy="419100"/>
          <wp:effectExtent l="0" t="0" r="0" b="0"/>
          <wp:docPr id="2" name="Imagen 2"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70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104F6"/>
    <w:multiLevelType w:val="hybridMultilevel"/>
    <w:tmpl w:val="27AC4914"/>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319B4DEF"/>
    <w:multiLevelType w:val="hybridMultilevel"/>
    <w:tmpl w:val="26A01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E76E5E"/>
    <w:multiLevelType w:val="hybridMultilevel"/>
    <w:tmpl w:val="4CF82002"/>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3A836CA7"/>
    <w:multiLevelType w:val="hybridMultilevel"/>
    <w:tmpl w:val="148476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8443C3"/>
    <w:multiLevelType w:val="hybridMultilevel"/>
    <w:tmpl w:val="06B47D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E3675"/>
    <w:multiLevelType w:val="multilevel"/>
    <w:tmpl w:val="5E86CD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2F1C43"/>
    <w:multiLevelType w:val="hybridMultilevel"/>
    <w:tmpl w:val="C3FAC1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7B3DFB"/>
    <w:multiLevelType w:val="hybridMultilevel"/>
    <w:tmpl w:val="F62206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282C77"/>
    <w:multiLevelType w:val="hybridMultilevel"/>
    <w:tmpl w:val="061808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5BA2C80"/>
    <w:multiLevelType w:val="multilevel"/>
    <w:tmpl w:val="8CDC3E0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rPr>
        <w:b/>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0" w15:restartNumberingAfterBreak="0">
    <w:nsid w:val="7A847372"/>
    <w:multiLevelType w:val="hybridMultilevel"/>
    <w:tmpl w:val="3EA6D898"/>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7BFA7E7B"/>
    <w:multiLevelType w:val="hybridMultilevel"/>
    <w:tmpl w:val="F3C21B1C"/>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E2C2CF8"/>
    <w:multiLevelType w:val="hybridMultilevel"/>
    <w:tmpl w:val="A38A7B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4"/>
  </w:num>
  <w:num w:numId="6">
    <w:abstractNumId w:val="5"/>
  </w:num>
  <w:num w:numId="7">
    <w:abstractNumId w:val="3"/>
  </w:num>
  <w:num w:numId="8">
    <w:abstractNumId w:val="1"/>
  </w:num>
  <w:num w:numId="9">
    <w:abstractNumId w:val="9"/>
  </w:num>
  <w:num w:numId="10">
    <w:abstractNumId w:val="12"/>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86"/>
    <w:rsid w:val="00017586"/>
    <w:rsid w:val="000244E8"/>
    <w:rsid w:val="0002524B"/>
    <w:rsid w:val="00072B04"/>
    <w:rsid w:val="00091E26"/>
    <w:rsid w:val="000A0618"/>
    <w:rsid w:val="000A062A"/>
    <w:rsid w:val="000B1A1E"/>
    <w:rsid w:val="000C2583"/>
    <w:rsid w:val="000D71A9"/>
    <w:rsid w:val="000F602F"/>
    <w:rsid w:val="00110BA2"/>
    <w:rsid w:val="00110D2E"/>
    <w:rsid w:val="001115EE"/>
    <w:rsid w:val="00162EAE"/>
    <w:rsid w:val="001711D1"/>
    <w:rsid w:val="001979CA"/>
    <w:rsid w:val="00197DA3"/>
    <w:rsid w:val="001A2292"/>
    <w:rsid w:val="001A6145"/>
    <w:rsid w:val="001D0FA4"/>
    <w:rsid w:val="001D3997"/>
    <w:rsid w:val="001D534D"/>
    <w:rsid w:val="00201A32"/>
    <w:rsid w:val="002310E5"/>
    <w:rsid w:val="002316C0"/>
    <w:rsid w:val="0023275E"/>
    <w:rsid w:val="00236EAB"/>
    <w:rsid w:val="00240BBD"/>
    <w:rsid w:val="00253F69"/>
    <w:rsid w:val="00260DA4"/>
    <w:rsid w:val="0026629C"/>
    <w:rsid w:val="002806D6"/>
    <w:rsid w:val="00283A60"/>
    <w:rsid w:val="0029296F"/>
    <w:rsid w:val="0029361D"/>
    <w:rsid w:val="002A4AD6"/>
    <w:rsid w:val="002A7AD9"/>
    <w:rsid w:val="002E5C84"/>
    <w:rsid w:val="002F14B0"/>
    <w:rsid w:val="002F1AF7"/>
    <w:rsid w:val="002F2FA7"/>
    <w:rsid w:val="003011F4"/>
    <w:rsid w:val="003031A7"/>
    <w:rsid w:val="00311E95"/>
    <w:rsid w:val="00317BBF"/>
    <w:rsid w:val="003263FF"/>
    <w:rsid w:val="00332E52"/>
    <w:rsid w:val="00347546"/>
    <w:rsid w:val="003533C9"/>
    <w:rsid w:val="00356D01"/>
    <w:rsid w:val="00361298"/>
    <w:rsid w:val="003624B6"/>
    <w:rsid w:val="0036732B"/>
    <w:rsid w:val="00376E9B"/>
    <w:rsid w:val="00391FD5"/>
    <w:rsid w:val="003B4B4B"/>
    <w:rsid w:val="003C18F4"/>
    <w:rsid w:val="003C43D2"/>
    <w:rsid w:val="003C7B26"/>
    <w:rsid w:val="003E5E34"/>
    <w:rsid w:val="003E72FB"/>
    <w:rsid w:val="00410F81"/>
    <w:rsid w:val="00416186"/>
    <w:rsid w:val="00417BBC"/>
    <w:rsid w:val="00425856"/>
    <w:rsid w:val="00434A4E"/>
    <w:rsid w:val="00454382"/>
    <w:rsid w:val="00454C77"/>
    <w:rsid w:val="004934C8"/>
    <w:rsid w:val="0049481E"/>
    <w:rsid w:val="004A4EDE"/>
    <w:rsid w:val="004A6F64"/>
    <w:rsid w:val="004B298D"/>
    <w:rsid w:val="004B6EC1"/>
    <w:rsid w:val="004E148E"/>
    <w:rsid w:val="004F132A"/>
    <w:rsid w:val="00501399"/>
    <w:rsid w:val="005048A3"/>
    <w:rsid w:val="005254EC"/>
    <w:rsid w:val="00530655"/>
    <w:rsid w:val="005408FF"/>
    <w:rsid w:val="00571168"/>
    <w:rsid w:val="005715BE"/>
    <w:rsid w:val="0057500D"/>
    <w:rsid w:val="00586A47"/>
    <w:rsid w:val="005A61FA"/>
    <w:rsid w:val="005B106F"/>
    <w:rsid w:val="005B5870"/>
    <w:rsid w:val="005C0D49"/>
    <w:rsid w:val="005C32D2"/>
    <w:rsid w:val="005E5827"/>
    <w:rsid w:val="005E5C38"/>
    <w:rsid w:val="005F3086"/>
    <w:rsid w:val="005F3D7D"/>
    <w:rsid w:val="005F447F"/>
    <w:rsid w:val="006056D6"/>
    <w:rsid w:val="006130A0"/>
    <w:rsid w:val="006165F6"/>
    <w:rsid w:val="0062763B"/>
    <w:rsid w:val="00627B68"/>
    <w:rsid w:val="00637407"/>
    <w:rsid w:val="00640E13"/>
    <w:rsid w:val="0064365A"/>
    <w:rsid w:val="00663EE0"/>
    <w:rsid w:val="00672E4B"/>
    <w:rsid w:val="00673527"/>
    <w:rsid w:val="00673A5D"/>
    <w:rsid w:val="006758CA"/>
    <w:rsid w:val="00683A85"/>
    <w:rsid w:val="006A6B8C"/>
    <w:rsid w:val="00731E13"/>
    <w:rsid w:val="00732EC3"/>
    <w:rsid w:val="00756803"/>
    <w:rsid w:val="00770280"/>
    <w:rsid w:val="00796199"/>
    <w:rsid w:val="007A08DA"/>
    <w:rsid w:val="007A2DF8"/>
    <w:rsid w:val="007A2F14"/>
    <w:rsid w:val="007A3674"/>
    <w:rsid w:val="007B501A"/>
    <w:rsid w:val="007C7CF8"/>
    <w:rsid w:val="007D102E"/>
    <w:rsid w:val="007D2BD8"/>
    <w:rsid w:val="007D607E"/>
    <w:rsid w:val="007E2323"/>
    <w:rsid w:val="00817EE2"/>
    <w:rsid w:val="00820DA4"/>
    <w:rsid w:val="00824D65"/>
    <w:rsid w:val="00832901"/>
    <w:rsid w:val="00833495"/>
    <w:rsid w:val="00847736"/>
    <w:rsid w:val="00851118"/>
    <w:rsid w:val="00862136"/>
    <w:rsid w:val="008647C4"/>
    <w:rsid w:val="008713C7"/>
    <w:rsid w:val="00882162"/>
    <w:rsid w:val="008A49A7"/>
    <w:rsid w:val="008A7D1E"/>
    <w:rsid w:val="008C492A"/>
    <w:rsid w:val="008C5EB6"/>
    <w:rsid w:val="008D320A"/>
    <w:rsid w:val="008D5ACD"/>
    <w:rsid w:val="008E6DFE"/>
    <w:rsid w:val="008F1831"/>
    <w:rsid w:val="008F2A40"/>
    <w:rsid w:val="008F3963"/>
    <w:rsid w:val="008F729D"/>
    <w:rsid w:val="009006A8"/>
    <w:rsid w:val="00900FAD"/>
    <w:rsid w:val="00906905"/>
    <w:rsid w:val="00910E8F"/>
    <w:rsid w:val="00916EEA"/>
    <w:rsid w:val="00927060"/>
    <w:rsid w:val="00942B9D"/>
    <w:rsid w:val="00947D80"/>
    <w:rsid w:val="00955C0D"/>
    <w:rsid w:val="009729D2"/>
    <w:rsid w:val="00986B41"/>
    <w:rsid w:val="009A2658"/>
    <w:rsid w:val="009B0ACC"/>
    <w:rsid w:val="009B1D39"/>
    <w:rsid w:val="009B656E"/>
    <w:rsid w:val="009E3296"/>
    <w:rsid w:val="009E5495"/>
    <w:rsid w:val="009E6FBF"/>
    <w:rsid w:val="00A01604"/>
    <w:rsid w:val="00A024B8"/>
    <w:rsid w:val="00A07CAE"/>
    <w:rsid w:val="00A10110"/>
    <w:rsid w:val="00A3402F"/>
    <w:rsid w:val="00A41995"/>
    <w:rsid w:val="00A51E9A"/>
    <w:rsid w:val="00A539F7"/>
    <w:rsid w:val="00A547A3"/>
    <w:rsid w:val="00A71AC4"/>
    <w:rsid w:val="00A87578"/>
    <w:rsid w:val="00A9095C"/>
    <w:rsid w:val="00AA6A4A"/>
    <w:rsid w:val="00AA7A3B"/>
    <w:rsid w:val="00AA7B24"/>
    <w:rsid w:val="00AB5503"/>
    <w:rsid w:val="00AB636A"/>
    <w:rsid w:val="00AB7390"/>
    <w:rsid w:val="00AE5DB2"/>
    <w:rsid w:val="00AF0911"/>
    <w:rsid w:val="00AF3420"/>
    <w:rsid w:val="00B16A02"/>
    <w:rsid w:val="00B21244"/>
    <w:rsid w:val="00B22AFC"/>
    <w:rsid w:val="00B27354"/>
    <w:rsid w:val="00B55366"/>
    <w:rsid w:val="00B7000D"/>
    <w:rsid w:val="00B921D9"/>
    <w:rsid w:val="00BD63C3"/>
    <w:rsid w:val="00BF1B83"/>
    <w:rsid w:val="00C04EA2"/>
    <w:rsid w:val="00C11C84"/>
    <w:rsid w:val="00C13DE3"/>
    <w:rsid w:val="00C20F88"/>
    <w:rsid w:val="00C23635"/>
    <w:rsid w:val="00C316ED"/>
    <w:rsid w:val="00C31CC6"/>
    <w:rsid w:val="00C53C77"/>
    <w:rsid w:val="00C65B9B"/>
    <w:rsid w:val="00C803B5"/>
    <w:rsid w:val="00C938BC"/>
    <w:rsid w:val="00C93C0E"/>
    <w:rsid w:val="00C94C41"/>
    <w:rsid w:val="00C96A92"/>
    <w:rsid w:val="00CB2DC7"/>
    <w:rsid w:val="00CC39FF"/>
    <w:rsid w:val="00CD21BD"/>
    <w:rsid w:val="00CE2845"/>
    <w:rsid w:val="00CE51F0"/>
    <w:rsid w:val="00CF34DA"/>
    <w:rsid w:val="00CF61A1"/>
    <w:rsid w:val="00D00440"/>
    <w:rsid w:val="00D00E7D"/>
    <w:rsid w:val="00D01D79"/>
    <w:rsid w:val="00D05884"/>
    <w:rsid w:val="00D05C66"/>
    <w:rsid w:val="00D07A54"/>
    <w:rsid w:val="00D171FD"/>
    <w:rsid w:val="00D22744"/>
    <w:rsid w:val="00D24692"/>
    <w:rsid w:val="00D26E76"/>
    <w:rsid w:val="00D30CF9"/>
    <w:rsid w:val="00D31DF9"/>
    <w:rsid w:val="00D44933"/>
    <w:rsid w:val="00D608D4"/>
    <w:rsid w:val="00D62BE7"/>
    <w:rsid w:val="00D87243"/>
    <w:rsid w:val="00DA285E"/>
    <w:rsid w:val="00DA44BD"/>
    <w:rsid w:val="00DA5888"/>
    <w:rsid w:val="00DA688E"/>
    <w:rsid w:val="00DB04EF"/>
    <w:rsid w:val="00DB43D3"/>
    <w:rsid w:val="00DD0A28"/>
    <w:rsid w:val="00DD58DA"/>
    <w:rsid w:val="00DF1649"/>
    <w:rsid w:val="00DF38AE"/>
    <w:rsid w:val="00E01F47"/>
    <w:rsid w:val="00E12A21"/>
    <w:rsid w:val="00E14C2D"/>
    <w:rsid w:val="00E200E5"/>
    <w:rsid w:val="00E345D5"/>
    <w:rsid w:val="00E47693"/>
    <w:rsid w:val="00E651A9"/>
    <w:rsid w:val="00E81799"/>
    <w:rsid w:val="00E841BC"/>
    <w:rsid w:val="00EA5E66"/>
    <w:rsid w:val="00EB0359"/>
    <w:rsid w:val="00EB2603"/>
    <w:rsid w:val="00EC270D"/>
    <w:rsid w:val="00EC6155"/>
    <w:rsid w:val="00ED5835"/>
    <w:rsid w:val="00EE19C4"/>
    <w:rsid w:val="00EE3EC9"/>
    <w:rsid w:val="00EF56A4"/>
    <w:rsid w:val="00F03F8F"/>
    <w:rsid w:val="00F04C39"/>
    <w:rsid w:val="00F0529F"/>
    <w:rsid w:val="00F05703"/>
    <w:rsid w:val="00F21E58"/>
    <w:rsid w:val="00F27CDE"/>
    <w:rsid w:val="00F3436A"/>
    <w:rsid w:val="00F528A4"/>
    <w:rsid w:val="00F67290"/>
    <w:rsid w:val="00F731D6"/>
    <w:rsid w:val="00F73C2E"/>
    <w:rsid w:val="00F91CF5"/>
    <w:rsid w:val="00FA1FEE"/>
    <w:rsid w:val="00FB17EA"/>
    <w:rsid w:val="00FB5DD1"/>
    <w:rsid w:val="00FC283C"/>
    <w:rsid w:val="00FC7A98"/>
    <w:rsid w:val="00FD22B5"/>
    <w:rsid w:val="00FF70B7"/>
    <w:rsid w:val="00FF76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E59F23-6243-4F21-A498-3216A96F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086"/>
    <w:pPr>
      <w:jc w:val="both"/>
    </w:pPr>
    <w:rPr>
      <w:rFonts w:ascii="Verdana" w:eastAsia="Verdana" w:hAnsi="Verdana"/>
      <w:sz w:val="24"/>
      <w:szCs w:val="24"/>
      <w:lang w:val="en-US" w:eastAsia="en-US"/>
    </w:rPr>
  </w:style>
  <w:style w:type="paragraph" w:styleId="Ttulo1">
    <w:name w:val="heading 1"/>
    <w:basedOn w:val="Normal"/>
    <w:next w:val="Normal"/>
    <w:qFormat/>
    <w:rsid w:val="001D3997"/>
    <w:pPr>
      <w:keepNext/>
      <w:pageBreakBefore/>
      <w:numPr>
        <w:numId w:val="9"/>
      </w:numPr>
      <w:shd w:val="clear" w:color="FF0000" w:fill="auto"/>
      <w:spacing w:before="240" w:after="60"/>
      <w:outlineLvl w:val="0"/>
    </w:pPr>
    <w:rPr>
      <w:rFonts w:ascii="Arial" w:eastAsia="Times New Roman" w:hAnsi="Arial" w:cs="Arial"/>
      <w:b/>
      <w:bCs/>
      <w:kern w:val="32"/>
      <w:sz w:val="32"/>
      <w:szCs w:val="32"/>
      <w:lang w:val="es-CR"/>
    </w:rPr>
  </w:style>
  <w:style w:type="paragraph" w:styleId="Ttulo2">
    <w:name w:val="heading 2"/>
    <w:basedOn w:val="Normal"/>
    <w:next w:val="Normal"/>
    <w:qFormat/>
    <w:rsid w:val="001D3997"/>
    <w:pPr>
      <w:keepNext/>
      <w:numPr>
        <w:ilvl w:val="1"/>
        <w:numId w:val="9"/>
      </w:numPr>
      <w:spacing w:before="240" w:after="60"/>
      <w:outlineLvl w:val="1"/>
    </w:pPr>
    <w:rPr>
      <w:rFonts w:ascii="Arial" w:eastAsia="Times New Roman" w:hAnsi="Arial" w:cs="Arial"/>
      <w:b/>
      <w:bCs/>
      <w:i/>
      <w:iCs/>
      <w:sz w:val="28"/>
      <w:szCs w:val="28"/>
      <w:lang w:val="es-CR"/>
    </w:rPr>
  </w:style>
  <w:style w:type="paragraph" w:styleId="Ttulo3">
    <w:name w:val="heading 3"/>
    <w:basedOn w:val="Normal"/>
    <w:next w:val="Normal"/>
    <w:qFormat/>
    <w:rsid w:val="001D3997"/>
    <w:pPr>
      <w:keepNext/>
      <w:numPr>
        <w:ilvl w:val="2"/>
        <w:numId w:val="9"/>
      </w:numPr>
      <w:spacing w:before="240" w:after="60"/>
      <w:outlineLvl w:val="2"/>
    </w:pPr>
    <w:rPr>
      <w:rFonts w:ascii="Arial" w:eastAsia="Times New Roman" w:hAnsi="Arial" w:cs="Arial"/>
      <w:b/>
      <w:bCs/>
      <w:sz w:val="26"/>
      <w:szCs w:val="26"/>
      <w:lang w:val="es-CR"/>
    </w:rPr>
  </w:style>
  <w:style w:type="paragraph" w:styleId="Ttulo4">
    <w:name w:val="heading 4"/>
    <w:basedOn w:val="Normal"/>
    <w:next w:val="Normal"/>
    <w:qFormat/>
    <w:rsid w:val="001D3997"/>
    <w:pPr>
      <w:keepNext/>
      <w:numPr>
        <w:ilvl w:val="3"/>
        <w:numId w:val="9"/>
      </w:numPr>
      <w:spacing w:before="240" w:after="60"/>
      <w:outlineLvl w:val="3"/>
    </w:pPr>
    <w:rPr>
      <w:rFonts w:ascii="Times New Roman" w:eastAsia="Times New Roman" w:hAnsi="Times New Roman"/>
      <w:b/>
      <w:bCs/>
      <w:sz w:val="28"/>
      <w:szCs w:val="28"/>
      <w:lang w:val="es-CR"/>
    </w:rPr>
  </w:style>
  <w:style w:type="paragraph" w:styleId="Ttulo5">
    <w:name w:val="heading 5"/>
    <w:basedOn w:val="Normal"/>
    <w:next w:val="Normal"/>
    <w:qFormat/>
    <w:rsid w:val="001D3997"/>
    <w:pPr>
      <w:numPr>
        <w:ilvl w:val="4"/>
        <w:numId w:val="9"/>
      </w:numPr>
      <w:spacing w:before="240" w:after="60"/>
      <w:outlineLvl w:val="4"/>
    </w:pPr>
    <w:rPr>
      <w:rFonts w:ascii="Times New Roman" w:eastAsia="Times New Roman" w:hAnsi="Times New Roman"/>
      <w:b/>
      <w:bCs/>
      <w:i/>
      <w:iCs/>
      <w:sz w:val="26"/>
      <w:szCs w:val="26"/>
      <w:lang w:val="es-CR"/>
    </w:rPr>
  </w:style>
  <w:style w:type="paragraph" w:styleId="Ttulo6">
    <w:name w:val="heading 6"/>
    <w:basedOn w:val="Normal"/>
    <w:next w:val="Normal"/>
    <w:qFormat/>
    <w:rsid w:val="001D3997"/>
    <w:pPr>
      <w:numPr>
        <w:ilvl w:val="5"/>
        <w:numId w:val="9"/>
      </w:numPr>
      <w:spacing w:before="240" w:after="60"/>
      <w:outlineLvl w:val="5"/>
    </w:pPr>
    <w:rPr>
      <w:rFonts w:ascii="Times New Roman" w:eastAsia="Times New Roman" w:hAnsi="Times New Roman"/>
      <w:b/>
      <w:bCs/>
      <w:sz w:val="22"/>
      <w:szCs w:val="22"/>
      <w:lang w:val="es-CR"/>
    </w:rPr>
  </w:style>
  <w:style w:type="paragraph" w:styleId="Ttulo7">
    <w:name w:val="heading 7"/>
    <w:basedOn w:val="Normal"/>
    <w:next w:val="Normal"/>
    <w:qFormat/>
    <w:rsid w:val="001D3997"/>
    <w:pPr>
      <w:numPr>
        <w:ilvl w:val="6"/>
        <w:numId w:val="9"/>
      </w:numPr>
      <w:spacing w:before="240" w:after="60"/>
      <w:outlineLvl w:val="6"/>
    </w:pPr>
    <w:rPr>
      <w:rFonts w:ascii="Times New Roman" w:eastAsia="Times New Roman" w:hAnsi="Times New Roman"/>
      <w:lang w:val="es-CR"/>
    </w:rPr>
  </w:style>
  <w:style w:type="paragraph" w:styleId="Ttulo8">
    <w:name w:val="heading 8"/>
    <w:basedOn w:val="Normal"/>
    <w:next w:val="Normal"/>
    <w:qFormat/>
    <w:rsid w:val="001D3997"/>
    <w:pPr>
      <w:numPr>
        <w:ilvl w:val="7"/>
        <w:numId w:val="9"/>
      </w:numPr>
      <w:spacing w:before="240" w:after="60"/>
      <w:outlineLvl w:val="7"/>
    </w:pPr>
    <w:rPr>
      <w:rFonts w:ascii="Times New Roman" w:eastAsia="Times New Roman" w:hAnsi="Times New Roman"/>
      <w:i/>
      <w:iCs/>
      <w:lang w:val="es-CR"/>
    </w:rPr>
  </w:style>
  <w:style w:type="paragraph" w:styleId="Ttulo9">
    <w:name w:val="heading 9"/>
    <w:basedOn w:val="Normal"/>
    <w:next w:val="Normal"/>
    <w:qFormat/>
    <w:rsid w:val="001D3997"/>
    <w:pPr>
      <w:numPr>
        <w:ilvl w:val="8"/>
        <w:numId w:val="9"/>
      </w:numPr>
      <w:spacing w:before="240" w:after="60"/>
      <w:outlineLvl w:val="8"/>
    </w:pPr>
    <w:rPr>
      <w:rFonts w:ascii="Arial" w:eastAsia="Times New Roman" w:hAnsi="Arial" w:cs="Arial"/>
      <w:sz w:val="22"/>
      <w:szCs w:val="2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06905"/>
    <w:pPr>
      <w:tabs>
        <w:tab w:val="center" w:pos="4419"/>
        <w:tab w:val="right" w:pos="8838"/>
      </w:tabs>
      <w:jc w:val="left"/>
    </w:pPr>
    <w:rPr>
      <w:rFonts w:ascii="Times New Roman" w:eastAsia="Times New Roman" w:hAnsi="Times New Roman"/>
      <w:sz w:val="20"/>
      <w:szCs w:val="20"/>
    </w:rPr>
  </w:style>
  <w:style w:type="paragraph" w:styleId="Piedepgina">
    <w:name w:val="footer"/>
    <w:basedOn w:val="Normal"/>
    <w:rsid w:val="00906905"/>
    <w:pPr>
      <w:tabs>
        <w:tab w:val="center" w:pos="4419"/>
        <w:tab w:val="right" w:pos="8838"/>
      </w:tabs>
      <w:jc w:val="left"/>
    </w:pPr>
    <w:rPr>
      <w:rFonts w:ascii="Times New Roman" w:eastAsia="Times New Roman" w:hAnsi="Times New Roman"/>
      <w:sz w:val="20"/>
      <w:szCs w:val="20"/>
    </w:rPr>
  </w:style>
  <w:style w:type="paragraph" w:styleId="Textoindependiente2">
    <w:name w:val="Body Text 2"/>
    <w:basedOn w:val="Normal"/>
    <w:rsid w:val="00906905"/>
    <w:pPr>
      <w:jc w:val="left"/>
    </w:pPr>
    <w:rPr>
      <w:rFonts w:ascii="Book Antiqua" w:eastAsia="Times New Roman" w:hAnsi="Book Antiqua"/>
      <w:sz w:val="22"/>
      <w:szCs w:val="20"/>
      <w:lang w:val="es-CR"/>
    </w:rPr>
  </w:style>
  <w:style w:type="paragraph" w:styleId="Textodeglobo">
    <w:name w:val="Balloon Text"/>
    <w:basedOn w:val="Normal"/>
    <w:semiHidden/>
    <w:rsid w:val="00731E13"/>
    <w:pPr>
      <w:jc w:val="left"/>
    </w:pPr>
    <w:rPr>
      <w:rFonts w:ascii="Tahoma" w:eastAsia="Times New Roman" w:hAnsi="Tahoma" w:cs="Tahoma"/>
      <w:sz w:val="16"/>
      <w:szCs w:val="16"/>
    </w:rPr>
  </w:style>
  <w:style w:type="character" w:styleId="Nmerodepgina">
    <w:name w:val="page number"/>
    <w:basedOn w:val="Fuentedeprrafopredeter"/>
    <w:rsid w:val="005F3D7D"/>
  </w:style>
  <w:style w:type="paragraph" w:styleId="Textoindependiente">
    <w:name w:val="Body Text"/>
    <w:basedOn w:val="Normal"/>
    <w:rsid w:val="002E5C84"/>
    <w:pPr>
      <w:spacing w:after="120"/>
      <w:jc w:val="left"/>
    </w:pPr>
    <w:rPr>
      <w:rFonts w:ascii="Times New Roman" w:eastAsia="Times New Roman" w:hAnsi="Times New Roman"/>
      <w:sz w:val="20"/>
      <w:szCs w:val="20"/>
    </w:rPr>
  </w:style>
  <w:style w:type="paragraph" w:styleId="Sangra3detindependiente">
    <w:name w:val="Body Text Indent 3"/>
    <w:basedOn w:val="Normal"/>
    <w:rsid w:val="001D3997"/>
    <w:pPr>
      <w:spacing w:after="120"/>
      <w:ind w:left="283"/>
      <w:jc w:val="left"/>
    </w:pPr>
    <w:rPr>
      <w:rFonts w:ascii="Times New Roman" w:eastAsia="Times New Roman" w:hAnsi="Times New Roman"/>
      <w:sz w:val="16"/>
      <w:szCs w:val="16"/>
    </w:rPr>
  </w:style>
  <w:style w:type="paragraph" w:styleId="ndice1">
    <w:name w:val="index 1"/>
    <w:basedOn w:val="Normal"/>
    <w:next w:val="Normal"/>
    <w:autoRedefine/>
    <w:semiHidden/>
    <w:rsid w:val="001D3997"/>
    <w:pPr>
      <w:ind w:left="200" w:hanging="200"/>
      <w:jc w:val="left"/>
    </w:pPr>
    <w:rPr>
      <w:rFonts w:ascii="Times New Roman" w:eastAsia="Times New Roman" w:hAnsi="Times New Roman"/>
      <w:sz w:val="20"/>
      <w:szCs w:val="20"/>
    </w:rPr>
  </w:style>
  <w:style w:type="paragraph" w:styleId="Ttulodendice">
    <w:name w:val="index heading"/>
    <w:basedOn w:val="Normal"/>
    <w:next w:val="ndice1"/>
    <w:semiHidden/>
    <w:rsid w:val="001D3997"/>
    <w:rPr>
      <w:rFonts w:ascii="Times New Roman" w:eastAsia="Times New Roman" w:hAnsi="Times New Roman"/>
      <w:lang w:val="es-CR"/>
    </w:rPr>
  </w:style>
  <w:style w:type="character" w:styleId="Hipervnculo">
    <w:name w:val="Hyperlink"/>
    <w:uiPriority w:val="99"/>
    <w:unhideWhenUsed/>
    <w:rsid w:val="001979CA"/>
    <w:rPr>
      <w:color w:val="0000FF"/>
      <w:u w:val="single"/>
    </w:rPr>
  </w:style>
  <w:style w:type="paragraph" w:customStyle="1" w:styleId="Default">
    <w:name w:val="Default"/>
    <w:rsid w:val="005F3086"/>
    <w:pPr>
      <w:autoSpaceDE w:val="0"/>
      <w:autoSpaceDN w:val="0"/>
      <w:adjustRightInd w:val="0"/>
    </w:pPr>
    <w:rPr>
      <w:rFonts w:ascii="Verdana" w:eastAsia="Verdana" w:hAnsi="Verdana"/>
      <w:color w:val="000000"/>
      <w:sz w:val="24"/>
      <w:szCs w:val="24"/>
    </w:rPr>
  </w:style>
  <w:style w:type="paragraph" w:customStyle="1" w:styleId="Pa41">
    <w:name w:val="Pa4+1"/>
    <w:basedOn w:val="Default"/>
    <w:next w:val="Default"/>
    <w:uiPriority w:val="99"/>
    <w:rsid w:val="005F3086"/>
    <w:pPr>
      <w:spacing w:line="201" w:lineRule="atLeast"/>
    </w:pPr>
    <w:rPr>
      <w:color w:val="auto"/>
    </w:rPr>
  </w:style>
  <w:style w:type="paragraph" w:customStyle="1" w:styleId="Pa51">
    <w:name w:val="Pa5+1"/>
    <w:basedOn w:val="Default"/>
    <w:next w:val="Default"/>
    <w:uiPriority w:val="99"/>
    <w:rsid w:val="005F3086"/>
    <w:pPr>
      <w:spacing w:line="201" w:lineRule="atLeast"/>
    </w:pPr>
    <w:rPr>
      <w:color w:val="auto"/>
    </w:rPr>
  </w:style>
  <w:style w:type="paragraph" w:customStyle="1" w:styleId="Pa61">
    <w:name w:val="Pa6+1"/>
    <w:basedOn w:val="Default"/>
    <w:next w:val="Default"/>
    <w:uiPriority w:val="99"/>
    <w:rsid w:val="005F3086"/>
    <w:pPr>
      <w:spacing w:line="201" w:lineRule="atLeast"/>
    </w:pPr>
    <w:rPr>
      <w:color w:val="auto"/>
    </w:rPr>
  </w:style>
  <w:style w:type="paragraph" w:customStyle="1" w:styleId="Pa71">
    <w:name w:val="Pa7+1"/>
    <w:basedOn w:val="Default"/>
    <w:next w:val="Default"/>
    <w:uiPriority w:val="99"/>
    <w:rsid w:val="005F3086"/>
    <w:pPr>
      <w:spacing w:line="201" w:lineRule="atLeast"/>
    </w:pPr>
    <w:rPr>
      <w:color w:val="auto"/>
    </w:rPr>
  </w:style>
  <w:style w:type="paragraph" w:customStyle="1" w:styleId="Pa191">
    <w:name w:val="Pa19+1"/>
    <w:basedOn w:val="Default"/>
    <w:next w:val="Default"/>
    <w:uiPriority w:val="99"/>
    <w:rsid w:val="005F3086"/>
    <w:pPr>
      <w:spacing w:line="201" w:lineRule="atLeast"/>
    </w:pPr>
    <w:rPr>
      <w:color w:val="auto"/>
    </w:rPr>
  </w:style>
  <w:style w:type="character" w:customStyle="1" w:styleId="A61">
    <w:name w:val="A6+1"/>
    <w:uiPriority w:val="99"/>
    <w:rsid w:val="005F3086"/>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734840">
      <w:bodyDiv w:val="1"/>
      <w:marLeft w:val="0"/>
      <w:marRight w:val="0"/>
      <w:marTop w:val="0"/>
      <w:marBottom w:val="0"/>
      <w:divBdr>
        <w:top w:val="none" w:sz="0" w:space="0" w:color="auto"/>
        <w:left w:val="none" w:sz="0" w:space="0" w:color="auto"/>
        <w:bottom w:val="none" w:sz="0" w:space="0" w:color="auto"/>
        <w:right w:val="none" w:sz="0" w:space="0" w:color="auto"/>
      </w:divBdr>
      <w:divsChild>
        <w:div w:id="1288437906">
          <w:marLeft w:val="0"/>
          <w:marRight w:val="0"/>
          <w:marTop w:val="0"/>
          <w:marBottom w:val="0"/>
          <w:divBdr>
            <w:top w:val="none" w:sz="0" w:space="0" w:color="auto"/>
            <w:left w:val="none" w:sz="0" w:space="0" w:color="auto"/>
            <w:bottom w:val="none" w:sz="0" w:space="0" w:color="auto"/>
            <w:right w:val="none" w:sz="0" w:space="0" w:color="auto"/>
          </w:divBdr>
          <w:divsChild>
            <w:div w:id="342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grweb.go.cr/scij/Busqueda/Normativa/Normas/nrm_articulo.aspx?param1=NRA&amp;nValor1=1&amp;nValor2=75987&amp;nValor3=94709&amp;nValor5=1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gr.go.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gr.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1958</Words>
  <Characters>10770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Procuraduría General de la República</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Salazar Valverde</dc:creator>
  <cp:keywords/>
  <dc:description/>
  <cp:lastModifiedBy>Ana Marcela Avalos Mora</cp:lastModifiedBy>
  <cp:revision>2</cp:revision>
  <cp:lastPrinted>2008-04-21T17:17:00Z</cp:lastPrinted>
  <dcterms:created xsi:type="dcterms:W3CDTF">2021-11-04T22:06:00Z</dcterms:created>
  <dcterms:modified xsi:type="dcterms:W3CDTF">2021-11-04T22:06:00Z</dcterms:modified>
</cp:coreProperties>
</file>