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E3601D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965590" w:rsidRPr="00965590">
        <w:rPr>
          <w:rFonts w:ascii="Tahoma" w:hAnsi="Tahoma" w:cs="Tahoma"/>
          <w:b/>
          <w:sz w:val="24"/>
          <w:szCs w:val="24"/>
          <w:lang w:val="es-MX"/>
        </w:rPr>
        <w:t>EJECUCIÓN DEL CIERRE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>N</w:t>
      </w:r>
      <w:r w:rsidR="00527C86" w:rsidRPr="008B0F3E">
        <w:rPr>
          <w:rFonts w:ascii="Tahoma" w:hAnsi="Tahoma" w:cs="Tahoma"/>
          <w:b/>
          <w:sz w:val="24"/>
          <w:szCs w:val="24"/>
          <w:lang w:val="es-MX"/>
        </w:rPr>
        <w:t>oviembre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 xml:space="preserve"> 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2013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896DBB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96DBB">
        <w:rPr>
          <w:rFonts w:ascii="Tahoma" w:hAnsi="Tahoma" w:cs="Tahoma"/>
          <w:b/>
          <w:sz w:val="24"/>
          <w:szCs w:val="24"/>
          <w:lang w:val="es-MX"/>
        </w:rPr>
        <w:t>PGR-ADI-SPE-EJECIE-1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896DBB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\* Arabic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F30792">
        <w:rPr>
          <w:rFonts w:ascii="Tahoma" w:hAnsi="Tahoma" w:cs="Tahoma"/>
          <w:b/>
          <w:sz w:val="24"/>
          <w:szCs w:val="24"/>
          <w:lang w:val="es-MX"/>
        </w:rPr>
        <w:t>8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20"/>
        <w:gridCol w:w="3014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896DBB" w:rsidTr="004324EF">
        <w:tc>
          <w:tcPr>
            <w:tcW w:w="3063" w:type="dxa"/>
          </w:tcPr>
          <w:p w:rsidR="00896DBB" w:rsidRDefault="00896DBB" w:rsidP="00896DB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896DBB" w:rsidRDefault="00D03264" w:rsidP="00896DB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Departamento Financiero Contable</w:t>
            </w:r>
          </w:p>
        </w:tc>
        <w:tc>
          <w:tcPr>
            <w:tcW w:w="3064" w:type="dxa"/>
          </w:tcPr>
          <w:p w:rsidR="00896DBB" w:rsidRDefault="00896DBB" w:rsidP="00896DB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896DBB" w:rsidRDefault="001E2FAA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5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Pr="00752737" w:rsidRDefault="00752737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752737">
              <w:rPr>
                <w:rFonts w:ascii="Tahoma" w:hAnsi="Tahoma" w:cs="Tahoma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324EF" w:rsidRPr="00D70AC4" w:rsidRDefault="00752737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752737">
              <w:rPr>
                <w:rFonts w:ascii="Tahoma" w:hAnsi="Tahoma" w:cs="Tahoma"/>
                <w:b/>
                <w:sz w:val="24"/>
                <w:szCs w:val="24"/>
                <w:lang w:val="es-MX"/>
              </w:rPr>
              <w:t>13-10-2017</w:t>
            </w:r>
          </w:p>
        </w:tc>
      </w:tr>
      <w:tr w:rsidR="0043336E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336E" w:rsidRDefault="0043336E" w:rsidP="0043336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0B6075">
              <w:rPr>
                <w:rFonts w:ascii="Tahoma" w:hAnsi="Tahoma" w:cs="Tahoma"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3336E" w:rsidRDefault="0043336E" w:rsidP="0043336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0B6075">
              <w:rPr>
                <w:rFonts w:ascii="Tahoma" w:hAnsi="Tahoma" w:cs="Tahoma"/>
                <w:sz w:val="24"/>
                <w:szCs w:val="24"/>
                <w:lang w:val="es-MX"/>
              </w:rPr>
              <w:t>10-10-2019 Yorleny Elizondo Leiva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Directora Adminsitrativa</w:t>
            </w:r>
          </w:p>
        </w:tc>
      </w:tr>
      <w:tr w:rsidR="00D03264" w:rsidTr="00272A4A">
        <w:trPr>
          <w:jc w:val="center"/>
        </w:trPr>
        <w:tc>
          <w:tcPr>
            <w:tcW w:w="491" w:type="dxa"/>
            <w:shd w:val="clear" w:color="auto" w:fill="auto"/>
          </w:tcPr>
          <w:p w:rsidR="00D03264" w:rsidRPr="001810BF" w:rsidRDefault="00D03264" w:rsidP="00D032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03264" w:rsidRPr="001810BF" w:rsidRDefault="00D03264" w:rsidP="00D03264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16F08">
              <w:rPr>
                <w:rFonts w:ascii="Tahoma" w:hAnsi="Tahoma" w:cs="Tahoma"/>
                <w:sz w:val="24"/>
                <w:szCs w:val="24"/>
                <w:lang w:val="es-MX"/>
              </w:rPr>
              <w:t>14/12/2020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-- Maureen Sanabria Marín, Jefa de Financiero Contable a.i.</w:t>
            </w:r>
          </w:p>
        </w:tc>
      </w:tr>
      <w:tr w:rsidR="002A3888" w:rsidTr="00B7242B">
        <w:trPr>
          <w:jc w:val="center"/>
        </w:trPr>
        <w:tc>
          <w:tcPr>
            <w:tcW w:w="491" w:type="dxa"/>
            <w:shd w:val="clear" w:color="auto" w:fill="auto"/>
          </w:tcPr>
          <w:p w:rsidR="002A3888" w:rsidRPr="001810BF" w:rsidRDefault="002A3888" w:rsidP="00B7242B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A3888" w:rsidRPr="001810BF" w:rsidRDefault="002A3888" w:rsidP="001C2E8E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16F08"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7</w:t>
            </w:r>
            <w:r w:rsidRPr="00116F08">
              <w:rPr>
                <w:rFonts w:ascii="Tahoma" w:hAnsi="Tahoma" w:cs="Tahoma"/>
                <w:sz w:val="24"/>
                <w:szCs w:val="24"/>
                <w:lang w:val="es-MX"/>
              </w:rPr>
              <w:t>/12/202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  <w:r w:rsidR="001C2E8E">
              <w:rPr>
                <w:rFonts w:ascii="Tahoma" w:hAnsi="Tahoma" w:cs="Tahoma"/>
                <w:sz w:val="24"/>
                <w:szCs w:val="24"/>
                <w:lang w:val="es-MX"/>
              </w:rPr>
              <w:t xml:space="preserve"> -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Maureen Sanabria Marín, Jefa de Financiero Contable a.i.</w:t>
            </w: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9F5184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E8002F" w:rsidRPr="00E8002F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68476470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_Toc368476470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EA5355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1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_Toc368476471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EA5355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2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_Toc368476472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EA5355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3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_Toc368476473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Pr="00E8002F" w:rsidRDefault="00EA5355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68476474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_Toc368476474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7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E8002F" w:rsidRDefault="00EA5355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  <w:hyperlink w:anchor="_Toc368476475" w:history="1"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E8002F" w:rsidRPr="00E8002F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instrText xml:space="preserve"> PAGEREF _Toc368476475 \h </w:instrTex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F30792">
          <w:rPr>
            <w:rFonts w:ascii="Tahoma" w:hAnsi="Tahoma" w:cs="Tahoma"/>
            <w:webHidden/>
            <w:sz w:val="24"/>
            <w:szCs w:val="24"/>
          </w:rPr>
          <w:t>7</w:t>
        </w:r>
        <w:r w:rsidR="00E8002F" w:rsidRPr="00E8002F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68476470"/>
      <w:r w:rsidRPr="00E8002F">
        <w:t>OBJETIVO DEL PROCEDIMIENTO</w:t>
      </w:r>
      <w:bookmarkEnd w:id="1"/>
    </w:p>
    <w:p w:rsidR="004304C2" w:rsidRDefault="004304C2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Default="00721F02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Efectuar</w:t>
      </w:r>
      <w:r w:rsidR="00CC18AE">
        <w:rPr>
          <w:rFonts w:ascii="Tahoma" w:hAnsi="Tahoma" w:cs="Tahoma"/>
          <w:sz w:val="24"/>
          <w:szCs w:val="24"/>
          <w:lang w:val="es-MX"/>
        </w:rPr>
        <w:t xml:space="preserve"> la ejecución del </w:t>
      </w:r>
      <w:r w:rsidR="00CC18AE" w:rsidRPr="00CC18AE">
        <w:rPr>
          <w:rFonts w:ascii="Tahoma" w:hAnsi="Tahoma" w:cs="Tahoma"/>
          <w:sz w:val="24"/>
          <w:szCs w:val="24"/>
          <w:lang w:val="es-MX"/>
        </w:rPr>
        <w:t>cierre del ejercicio presupuestario</w:t>
      </w:r>
      <w:r w:rsidR="00CC18AE">
        <w:rPr>
          <w:rFonts w:ascii="Tahoma" w:hAnsi="Tahoma" w:cs="Tahoma"/>
          <w:sz w:val="24"/>
          <w:szCs w:val="24"/>
          <w:lang w:val="es-MX"/>
        </w:rPr>
        <w:t xml:space="preserve">, que </w:t>
      </w:r>
      <w:r w:rsidR="00CC18AE" w:rsidRPr="00CC18AE">
        <w:rPr>
          <w:rFonts w:ascii="Tahoma" w:hAnsi="Tahoma" w:cs="Tahoma"/>
          <w:sz w:val="24"/>
          <w:szCs w:val="24"/>
          <w:lang w:val="es-MX"/>
        </w:rPr>
        <w:t>permita identificar claramente</w:t>
      </w:r>
      <w:r w:rsidR="009A16E8">
        <w:rPr>
          <w:rFonts w:ascii="Tahoma" w:hAnsi="Tahoma" w:cs="Tahoma"/>
          <w:sz w:val="24"/>
          <w:szCs w:val="24"/>
          <w:lang w:val="es-MX"/>
        </w:rPr>
        <w:t xml:space="preserve"> los saldos disponibles de las asignaciones presupuestarias, correspondientes a los gastos comprometidos pero no devengados al 31 de di</w:t>
      </w:r>
      <w:r>
        <w:rPr>
          <w:rFonts w:ascii="Tahoma" w:hAnsi="Tahoma" w:cs="Tahoma"/>
          <w:sz w:val="24"/>
          <w:szCs w:val="24"/>
          <w:lang w:val="es-MX"/>
        </w:rPr>
        <w:t>ciembre en apego a las directrices emitidas en esta materia</w:t>
      </w:r>
      <w:r w:rsidR="009A16E8">
        <w:rPr>
          <w:rFonts w:ascii="Tahoma" w:hAnsi="Tahoma" w:cs="Tahoma"/>
          <w:sz w:val="24"/>
          <w:szCs w:val="24"/>
          <w:lang w:val="es-MX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68476471"/>
      <w:r w:rsidRPr="00E8002F">
        <w:t>ALCANCE DEL PROCEDIMIENTO</w:t>
      </w:r>
      <w:bookmarkEnd w:id="2"/>
    </w:p>
    <w:p w:rsidR="004304C2" w:rsidRDefault="004304C2" w:rsidP="005B28A4">
      <w:pPr>
        <w:rPr>
          <w:rFonts w:ascii="Tahoma" w:hAnsi="Tahoma" w:cs="Tahoma"/>
          <w:sz w:val="24"/>
          <w:szCs w:val="24"/>
          <w:lang w:val="es-MX"/>
        </w:rPr>
      </w:pPr>
    </w:p>
    <w:p w:rsidR="005B28A4" w:rsidRDefault="009A16E8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Este procedimiento abarca el ejercicio presupuestario de la Procuraduría General de la República, incluyendo el </w:t>
      </w:r>
      <w:r w:rsidR="004304C2">
        <w:rPr>
          <w:rFonts w:ascii="Tahoma" w:hAnsi="Tahoma" w:cs="Tahoma"/>
          <w:sz w:val="24"/>
          <w:szCs w:val="24"/>
          <w:lang w:val="es-MX"/>
        </w:rPr>
        <w:t>P</w:t>
      </w:r>
      <w:r>
        <w:rPr>
          <w:rFonts w:ascii="Tahoma" w:hAnsi="Tahoma" w:cs="Tahoma"/>
          <w:sz w:val="24"/>
          <w:szCs w:val="24"/>
          <w:lang w:val="es-MX"/>
        </w:rPr>
        <w:t xml:space="preserve">resupuesto </w:t>
      </w:r>
      <w:r w:rsidR="004304C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 xml:space="preserve">rdinario y </w:t>
      </w:r>
      <w:r w:rsidR="004304C2">
        <w:rPr>
          <w:rFonts w:ascii="Tahoma" w:hAnsi="Tahoma" w:cs="Tahoma"/>
          <w:sz w:val="24"/>
          <w:szCs w:val="24"/>
          <w:lang w:val="es-MX"/>
        </w:rPr>
        <w:t>P</w:t>
      </w:r>
      <w:r>
        <w:rPr>
          <w:rFonts w:ascii="Tahoma" w:hAnsi="Tahoma" w:cs="Tahoma"/>
          <w:sz w:val="24"/>
          <w:szCs w:val="24"/>
          <w:lang w:val="es-MX"/>
        </w:rPr>
        <w:t xml:space="preserve">resupuestos </w:t>
      </w:r>
      <w:r w:rsidR="004304C2">
        <w:rPr>
          <w:rFonts w:ascii="Tahoma" w:hAnsi="Tahoma" w:cs="Tahoma"/>
          <w:sz w:val="24"/>
          <w:szCs w:val="24"/>
          <w:lang w:val="es-MX"/>
        </w:rPr>
        <w:t>E</w:t>
      </w:r>
      <w:r>
        <w:rPr>
          <w:rFonts w:ascii="Tahoma" w:hAnsi="Tahoma" w:cs="Tahoma"/>
          <w:sz w:val="24"/>
          <w:szCs w:val="24"/>
          <w:lang w:val="es-MX"/>
        </w:rPr>
        <w:t>xtraordinarios que le hayan sido aprobados.</w:t>
      </w:r>
    </w:p>
    <w:p w:rsidR="009A16E8" w:rsidRDefault="009A16E8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Inicia en</w:t>
      </w:r>
      <w:r w:rsidR="00937095">
        <w:rPr>
          <w:rFonts w:ascii="Tahoma" w:hAnsi="Tahoma" w:cs="Tahoma"/>
          <w:sz w:val="24"/>
          <w:szCs w:val="24"/>
          <w:lang w:val="es-MX"/>
        </w:rPr>
        <w:t xml:space="preserve"> la </w:t>
      </w:r>
      <w:r w:rsidR="00937095" w:rsidRPr="004304C2">
        <w:rPr>
          <w:rFonts w:ascii="Tahoma" w:hAnsi="Tahoma" w:cs="Tahoma"/>
          <w:sz w:val="24"/>
          <w:szCs w:val="24"/>
          <w:lang w:val="es-CR"/>
        </w:rPr>
        <w:t>revisión de los compromisos en el SIGAF</w:t>
      </w:r>
    </w:p>
    <w:p w:rsidR="009A16E8" w:rsidRDefault="009A16E8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Finaliza en</w:t>
      </w:r>
      <w:r w:rsidR="00937095">
        <w:rPr>
          <w:rFonts w:ascii="Tahoma" w:hAnsi="Tahoma" w:cs="Tahoma"/>
          <w:sz w:val="24"/>
          <w:szCs w:val="24"/>
          <w:lang w:val="es-MX"/>
        </w:rPr>
        <w:t xml:space="preserve"> la verificación de que el </w:t>
      </w:r>
      <w:r w:rsidR="00937095" w:rsidRPr="004304C2">
        <w:rPr>
          <w:rFonts w:ascii="Tahoma" w:hAnsi="Tahoma" w:cs="Tahoma"/>
          <w:sz w:val="24"/>
          <w:szCs w:val="24"/>
          <w:lang w:val="es-CR"/>
        </w:rPr>
        <w:t>recibido de mercancías esté en cero</w:t>
      </w:r>
      <w:r w:rsidR="004304C2">
        <w:rPr>
          <w:rFonts w:ascii="Tahoma" w:hAnsi="Tahoma" w:cs="Tahoma"/>
          <w:sz w:val="24"/>
          <w:szCs w:val="24"/>
          <w:lang w:val="es-CR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Pr="00E8002F" w:rsidRDefault="00E8002F" w:rsidP="00E8002F">
      <w:pPr>
        <w:pStyle w:val="Ttulo1"/>
      </w:pPr>
      <w:bookmarkStart w:id="3" w:name="_Toc368476472"/>
      <w:r w:rsidRPr="00E8002F">
        <w:t>LINEAMIENTOS DEL PROCEDIMIENTO</w:t>
      </w:r>
      <w:bookmarkEnd w:id="3"/>
    </w:p>
    <w:p w:rsidR="004304C2" w:rsidRDefault="004304C2" w:rsidP="00721F02">
      <w:pPr>
        <w:rPr>
          <w:rStyle w:val="Textoennegrita"/>
          <w:rFonts w:ascii="Tahoma" w:hAnsi="Tahoma" w:cs="Tahoma"/>
          <w:b w:val="0"/>
          <w:sz w:val="24"/>
          <w:szCs w:val="24"/>
          <w:lang w:val="es-ES"/>
        </w:rPr>
      </w:pPr>
      <w:bookmarkStart w:id="4" w:name="_Toc368476473"/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Ley Orgánica de la Procuraduría General de la República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N° 6815, del 27 de septiembre de 1982 </w:t>
      </w:r>
      <w:r w:rsidRPr="000246CF">
        <w:rPr>
          <w:rFonts w:ascii="Tahoma" w:hAnsi="Tahoma" w:cs="Tahoma"/>
          <w:sz w:val="24"/>
          <w:szCs w:val="24"/>
          <w:lang w:val="es-ES"/>
        </w:rPr>
        <w:t>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Ley Orgánica del Ministerio de Justicia y Paz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6739, del 28 de abril de 1982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Ley General de la Administración Pública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6227, del 02 de mayo de 1978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Estatuto de Servicio Civil Ley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1581, del 30 de mayo de 1953, y su Reglamento Ejecutivo 21 del 14 de diciembre 1954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Ley de Contratación Administrativa N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7494, del 02 de mayo de 1995 y su Reglamento Decreto Ejecutivo 33411 del 27 de diciembre de 2006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Ley General de Control Interno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 xml:space="preserve"> 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8292, del 31 de julio del 2002.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Ley de la Administración Financiera de la República y Presupuestos Públicos</w:t>
      </w:r>
      <w:r w:rsidRPr="000246CF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8131, del 18 de setiembre del 2001 y su Reglamento Decreto Ejecutivo 32988, del 31 de enero del 2006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Ley Contra la Corrupción y Enriquecimiento Ilícito en la Función Pública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8422, del 06 de octubre del 2004 y su Reglamento Decreto Ejecutivo 32333, del 12 de abril del 2005.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Código de Trabajo Ley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2, del 27 de agosto de 1943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Ley para el Equilibrio Financiero del Sector Público N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6955, del 24 de febrero de 1984.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 xml:space="preserve">Ley de Salarios de la Administración Pública </w:t>
      </w:r>
      <w:r w:rsidRPr="000246CF">
        <w:rPr>
          <w:rStyle w:val="Textoennegrita"/>
          <w:rFonts w:ascii="Tahoma" w:hAnsi="Tahoma" w:cs="Tahoma"/>
          <w:b w:val="0"/>
          <w:sz w:val="24"/>
          <w:szCs w:val="24"/>
          <w:lang w:val="es-ES"/>
        </w:rPr>
        <w:t>N°</w:t>
      </w:r>
      <w:r w:rsidRPr="000246CF">
        <w:rPr>
          <w:rFonts w:ascii="Tahoma" w:hAnsi="Tahoma" w:cs="Tahoma"/>
          <w:sz w:val="24"/>
          <w:szCs w:val="24"/>
          <w:lang w:val="es-ES"/>
        </w:rPr>
        <w:t xml:space="preserve"> 2166, del 09 de octubre de 1957 y sus reformas.</w:t>
      </w:r>
    </w:p>
    <w:p w:rsidR="00721F02" w:rsidRPr="000246CF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Normas de Control Interno para el Sector Público (N-2-2009-CO-DFOE)</w:t>
      </w: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Normas Internacionales de Contabilidad de Sector Público</w:t>
      </w:r>
    </w:p>
    <w:p w:rsidR="00721F02" w:rsidRDefault="00721F02" w:rsidP="00721F02">
      <w:pPr>
        <w:rPr>
          <w:rFonts w:ascii="Tahoma" w:hAnsi="Tahoma" w:cs="Tahoma"/>
          <w:sz w:val="24"/>
          <w:szCs w:val="24"/>
          <w:lang w:val="es-ES"/>
        </w:rPr>
      </w:pP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Reglamento General de Fondo de Cajas Chicas. Decreto Ejecutivo 32874-H del 31 de enero del 2006.</w:t>
      </w: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Normas Técnicas sobre Presupuesto Público N-1-2012-DC-DFOE de la Contraloría General de la República.</w:t>
      </w: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Directrices Generales de Políticas Presupuestarias y demás Órganos según corresponda, para el año correspondiente de la Secretaria Técnica Autoridad Presupuestaria del Ministerio de Hacienda.</w:t>
      </w: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Lineamientos Técnicos y Metodológicos para la Programación Estratégica Sectorial e Institucional</w:t>
      </w:r>
      <w:r w:rsidRPr="000246CF">
        <w:rPr>
          <w:rFonts w:ascii="Tahoma" w:hAnsi="Tahoma" w:cs="Tahoma"/>
          <w:bCs/>
          <w:sz w:val="24"/>
          <w:szCs w:val="24"/>
          <w:lang w:val="es-ES"/>
        </w:rPr>
        <w:t xml:space="preserve"> Decreto Ejecutivo 34558</w:t>
      </w:r>
      <w:r w:rsidRPr="000246CF">
        <w:rPr>
          <w:rFonts w:ascii="Tahoma" w:hAnsi="Tahoma" w:cs="Tahoma"/>
          <w:color w:val="000000"/>
          <w:sz w:val="24"/>
          <w:szCs w:val="24"/>
          <w:lang w:val="es-ES"/>
        </w:rPr>
        <w:t xml:space="preserve">, </w:t>
      </w:r>
      <w:r w:rsidRPr="000246CF">
        <w:rPr>
          <w:rFonts w:ascii="Tahoma" w:hAnsi="Tahoma" w:cs="Tahoma"/>
          <w:bCs/>
          <w:sz w:val="24"/>
          <w:szCs w:val="24"/>
          <w:lang w:val="es-ES"/>
        </w:rPr>
        <w:t>del 16 de junio del 2008.</w:t>
      </w:r>
    </w:p>
    <w:p w:rsidR="00721F02" w:rsidRPr="000246CF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0246CF">
        <w:rPr>
          <w:rFonts w:ascii="Tahoma" w:hAnsi="Tahoma" w:cs="Tahoma"/>
          <w:sz w:val="24"/>
          <w:szCs w:val="24"/>
          <w:lang w:val="es-ES"/>
        </w:rPr>
        <w:t>Reglamento del Estatuto de Servicio Civil Decreto Ejecutivo 21, del 14 de diciembre de 1954 y sus reformas.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528A3">
        <w:rPr>
          <w:rFonts w:ascii="Tahoma" w:hAnsi="Tahoma" w:cs="Tahoma"/>
          <w:sz w:val="24"/>
          <w:szCs w:val="24"/>
          <w:lang w:val="es-MX"/>
        </w:rPr>
        <w:t>Directrices Técnica</w:t>
      </w:r>
      <w:r>
        <w:rPr>
          <w:rFonts w:ascii="Tahoma" w:hAnsi="Tahoma" w:cs="Tahoma"/>
          <w:sz w:val="24"/>
          <w:szCs w:val="24"/>
          <w:lang w:val="es-MX"/>
        </w:rPr>
        <w:t xml:space="preserve">s y Metodológicas emitidas por </w:t>
      </w:r>
      <w:r w:rsidRPr="00A528A3">
        <w:rPr>
          <w:rFonts w:ascii="Tahoma" w:hAnsi="Tahoma" w:cs="Tahoma"/>
          <w:sz w:val="24"/>
          <w:szCs w:val="24"/>
          <w:lang w:val="es-MX"/>
        </w:rPr>
        <w:t>Presupuesto Nacional de la República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Pr="00A528A3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528A3">
        <w:rPr>
          <w:rFonts w:ascii="Tahoma" w:hAnsi="Tahoma" w:cs="Tahoma"/>
          <w:sz w:val="24"/>
          <w:szCs w:val="24"/>
          <w:lang w:val="es-MX"/>
        </w:rPr>
        <w:t>Límites Presupuestarios para el Ministerio de Justicia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Pr="00A528A3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528A3">
        <w:rPr>
          <w:rFonts w:ascii="Tahoma" w:hAnsi="Tahoma" w:cs="Tahoma"/>
          <w:sz w:val="24"/>
          <w:szCs w:val="24"/>
          <w:lang w:val="es-MX"/>
        </w:rPr>
        <w:t>Lineamientos para el cálculo de la Relación de Puestos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528A3">
        <w:rPr>
          <w:rFonts w:ascii="Tahoma" w:hAnsi="Tahoma" w:cs="Tahoma"/>
          <w:sz w:val="24"/>
          <w:szCs w:val="24"/>
          <w:lang w:val="es-MX"/>
        </w:rPr>
        <w:t>Programación Estratégica por Programa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Normas y Criterios Operativos para la Utilización de los Clasificadores Presupuestarios del Sector Público Decreto </w:t>
      </w:r>
      <w:r w:rsidRPr="004E2912">
        <w:rPr>
          <w:rFonts w:ascii="Tahoma" w:hAnsi="Tahoma" w:cs="Tahoma"/>
          <w:sz w:val="24"/>
          <w:szCs w:val="24"/>
          <w:lang w:val="es-MX"/>
        </w:rPr>
        <w:t>No. 34700-H</w:t>
      </w:r>
      <w:r>
        <w:rPr>
          <w:rFonts w:ascii="Tahoma" w:hAnsi="Tahoma" w:cs="Tahoma"/>
          <w:sz w:val="24"/>
          <w:szCs w:val="24"/>
          <w:lang w:val="es-MX"/>
        </w:rPr>
        <w:t>, del 25 de agosto de 2008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Clasificador Presupuestario por Objeto del Gasto Decreto No. 313459</w:t>
      </w:r>
      <w:r w:rsidRPr="004E2912">
        <w:rPr>
          <w:rFonts w:ascii="Tahoma" w:hAnsi="Tahoma" w:cs="Tahoma"/>
          <w:sz w:val="24"/>
          <w:szCs w:val="24"/>
          <w:lang w:val="es-MX"/>
        </w:rPr>
        <w:t>-H</w:t>
      </w:r>
      <w:r>
        <w:rPr>
          <w:rFonts w:ascii="Tahoma" w:hAnsi="Tahoma" w:cs="Tahoma"/>
          <w:sz w:val="24"/>
          <w:szCs w:val="24"/>
          <w:lang w:val="es-MX"/>
        </w:rPr>
        <w:t xml:space="preserve"> del 19 de noviembre de 2003 y su Reforma Clasificador Presupuestario por Objeto del Gasto </w:t>
      </w:r>
      <w:r w:rsidRPr="004E2912">
        <w:rPr>
          <w:rFonts w:ascii="Tahoma" w:hAnsi="Tahoma" w:cs="Tahoma"/>
          <w:sz w:val="24"/>
          <w:szCs w:val="24"/>
          <w:lang w:val="es-MX"/>
        </w:rPr>
        <w:t xml:space="preserve">Decreto No. 34325-H, </w:t>
      </w:r>
      <w:r>
        <w:rPr>
          <w:rFonts w:ascii="Tahoma" w:hAnsi="Tahoma" w:cs="Tahoma"/>
          <w:sz w:val="24"/>
          <w:szCs w:val="24"/>
          <w:lang w:val="es-MX"/>
        </w:rPr>
        <w:t>del</w:t>
      </w:r>
      <w:r w:rsidRPr="004E2912">
        <w:rPr>
          <w:rFonts w:ascii="Tahoma" w:hAnsi="Tahoma" w:cs="Tahoma"/>
          <w:sz w:val="24"/>
          <w:szCs w:val="24"/>
          <w:lang w:val="es-MX"/>
        </w:rPr>
        <w:t xml:space="preserve"> 22</w:t>
      </w:r>
      <w:r>
        <w:rPr>
          <w:rFonts w:ascii="Tahoma" w:hAnsi="Tahoma" w:cs="Tahoma"/>
          <w:sz w:val="24"/>
          <w:szCs w:val="24"/>
          <w:lang w:val="es-MX"/>
        </w:rPr>
        <w:t xml:space="preserve"> de febrero de </w:t>
      </w:r>
      <w:r w:rsidRPr="004E2912">
        <w:rPr>
          <w:rFonts w:ascii="Tahoma" w:hAnsi="Tahoma" w:cs="Tahoma"/>
          <w:sz w:val="24"/>
          <w:szCs w:val="24"/>
          <w:lang w:val="es-MX"/>
        </w:rPr>
        <w:t>2008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Clasificador Presupuestario Institucional del Sector Público Decreto No. 33086</w:t>
      </w:r>
      <w:r w:rsidRPr="004E2912">
        <w:rPr>
          <w:rFonts w:ascii="Tahoma" w:hAnsi="Tahoma" w:cs="Tahoma"/>
          <w:sz w:val="24"/>
          <w:szCs w:val="24"/>
          <w:lang w:val="es-MX"/>
        </w:rPr>
        <w:t>-H</w:t>
      </w:r>
      <w:r>
        <w:rPr>
          <w:rFonts w:ascii="Tahoma" w:hAnsi="Tahoma" w:cs="Tahoma"/>
          <w:sz w:val="24"/>
          <w:szCs w:val="24"/>
          <w:lang w:val="es-MX"/>
        </w:rPr>
        <w:t xml:space="preserve"> del 17 de mayo de 2006 y sus Reformas </w:t>
      </w:r>
    </w:p>
    <w:p w:rsidR="00721F02" w:rsidRDefault="00721F02" w:rsidP="00721F02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6A580E">
        <w:rPr>
          <w:rFonts w:ascii="Tahoma" w:hAnsi="Tahoma" w:cs="Tahoma"/>
          <w:sz w:val="24"/>
          <w:szCs w:val="24"/>
          <w:lang w:val="es-MX"/>
        </w:rPr>
        <w:t xml:space="preserve">Decreto No. 35252-H, </w:t>
      </w:r>
      <w:r>
        <w:rPr>
          <w:rFonts w:ascii="Tahoma" w:hAnsi="Tahoma" w:cs="Tahoma"/>
          <w:sz w:val="24"/>
          <w:szCs w:val="24"/>
          <w:lang w:val="es-MX"/>
        </w:rPr>
        <w:t xml:space="preserve">del 28 de mayo de </w:t>
      </w:r>
      <w:r w:rsidRPr="006A580E">
        <w:rPr>
          <w:rFonts w:ascii="Tahoma" w:hAnsi="Tahoma" w:cs="Tahoma"/>
          <w:sz w:val="24"/>
          <w:szCs w:val="24"/>
          <w:lang w:val="es-MX"/>
        </w:rPr>
        <w:t>2009</w:t>
      </w:r>
    </w:p>
    <w:p w:rsidR="00721F02" w:rsidRDefault="00721F02" w:rsidP="00721F02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6A580E">
        <w:rPr>
          <w:rFonts w:ascii="Tahoma" w:hAnsi="Tahoma" w:cs="Tahoma"/>
          <w:sz w:val="24"/>
          <w:szCs w:val="24"/>
          <w:lang w:val="es-MX"/>
        </w:rPr>
        <w:t>Decreto No. 36585-H, del 31</w:t>
      </w:r>
      <w:r>
        <w:rPr>
          <w:rFonts w:ascii="Tahoma" w:hAnsi="Tahoma" w:cs="Tahoma"/>
          <w:sz w:val="24"/>
          <w:szCs w:val="24"/>
          <w:lang w:val="es-MX"/>
        </w:rPr>
        <w:t xml:space="preserve"> de mayo de </w:t>
      </w:r>
      <w:r w:rsidRPr="006A580E">
        <w:rPr>
          <w:rFonts w:ascii="Tahoma" w:hAnsi="Tahoma" w:cs="Tahoma"/>
          <w:sz w:val="24"/>
          <w:szCs w:val="24"/>
          <w:lang w:val="es-MX"/>
        </w:rPr>
        <w:t>2011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Clasificador Presupuestario por Fuentes de Financiamiento Decreto No. 33293</w:t>
      </w:r>
      <w:r w:rsidRPr="004E2912">
        <w:rPr>
          <w:rFonts w:ascii="Tahoma" w:hAnsi="Tahoma" w:cs="Tahoma"/>
          <w:sz w:val="24"/>
          <w:szCs w:val="24"/>
          <w:lang w:val="es-MX"/>
        </w:rPr>
        <w:t>-H</w:t>
      </w:r>
      <w:r>
        <w:rPr>
          <w:rFonts w:ascii="Tahoma" w:hAnsi="Tahoma" w:cs="Tahoma"/>
          <w:sz w:val="24"/>
          <w:szCs w:val="24"/>
          <w:lang w:val="es-MX"/>
        </w:rPr>
        <w:t xml:space="preserve"> del 29 de agosto de 2006</w:t>
      </w:r>
    </w:p>
    <w:p w:rsidR="00721F02" w:rsidRDefault="00721F02" w:rsidP="00721F02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Pr="00E8002F" w:rsidRDefault="00E8002F" w:rsidP="00E8002F">
      <w:pPr>
        <w:pStyle w:val="Ttulo1"/>
      </w:pPr>
      <w:r w:rsidRPr="00E8002F">
        <w:t>DESCRIPCIÓN DEL PROCEDIMIENTO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6"/>
        <w:gridCol w:w="2111"/>
      </w:tblGrid>
      <w:tr w:rsidR="00272A4A" w:rsidRPr="00272A4A" w:rsidTr="00272A4A">
        <w:tc>
          <w:tcPr>
            <w:tcW w:w="1603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451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26" w:type="dxa"/>
          </w:tcPr>
          <w:p w:rsidR="00272A4A" w:rsidRPr="00272A4A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272A4A" w:rsidRPr="00272A4A" w:rsidTr="00272A4A">
        <w:tc>
          <w:tcPr>
            <w:tcW w:w="1603" w:type="dxa"/>
          </w:tcPr>
          <w:p w:rsidR="00272A4A" w:rsidRPr="00272A4A" w:rsidRDefault="00465EF0" w:rsidP="00282C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465EF0" w:rsidRPr="004304C2" w:rsidRDefault="00465EF0" w:rsidP="00465EF0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Al inicio de</w:t>
            </w:r>
            <w:r w:rsid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l mes de 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diciembre revisar en el SIGAF los documentos que están en el comprometido y en el solicitado, verificando que todos tengan una razón de ser. </w:t>
            </w:r>
          </w:p>
          <w:p w:rsidR="00465EF0" w:rsidRPr="004304C2" w:rsidRDefault="00465EF0" w:rsidP="00465EF0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Al final del cierre la columna del solicitado debe estar en 0. </w:t>
            </w:r>
          </w:p>
          <w:p w:rsidR="00465EF0" w:rsidRPr="004304C2" w:rsidRDefault="00465EF0" w:rsidP="00465EF0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Todas las solicitudes de pedido deben tener solicitudes de compra para que pasen al comprometido.</w:t>
            </w:r>
          </w:p>
          <w:p w:rsidR="00272A4A" w:rsidRPr="004304C2" w:rsidRDefault="00465EF0" w:rsidP="001C2E8E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Durante estas revisiones se coordina con el Proveedor Institucional para verificar las solicitudes de pedido </w:t>
            </w:r>
            <w:r w:rsidR="001C2E8E">
              <w:rPr>
                <w:rFonts w:ascii="Tahoma" w:hAnsi="Tahoma" w:cs="Tahoma"/>
                <w:sz w:val="24"/>
                <w:szCs w:val="24"/>
                <w:lang w:val="es-CR"/>
              </w:rPr>
              <w:t xml:space="preserve">de 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compra.</w:t>
            </w:r>
          </w:p>
        </w:tc>
        <w:tc>
          <w:tcPr>
            <w:tcW w:w="2126" w:type="dxa"/>
          </w:tcPr>
          <w:p w:rsidR="001C2E8E" w:rsidRDefault="00D03264" w:rsidP="00282C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C2E8E" w:rsidRDefault="001C2E8E" w:rsidP="00282C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65EF0" w:rsidRPr="00272A4A" w:rsidRDefault="00465EF0" w:rsidP="001C2E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752737">
              <w:rPr>
                <w:rFonts w:ascii="Tahoma" w:hAnsi="Tahoma" w:cs="Tahoma"/>
                <w:sz w:val="24"/>
                <w:szCs w:val="24"/>
              </w:rPr>
              <w:t xml:space="preserve">de </w:t>
            </w:r>
            <w:r>
              <w:rPr>
                <w:rFonts w:ascii="Tahoma" w:hAnsi="Tahoma" w:cs="Tahoma"/>
                <w:sz w:val="24"/>
                <w:szCs w:val="24"/>
              </w:rPr>
              <w:t>Proveeduría</w:t>
            </w:r>
          </w:p>
        </w:tc>
      </w:tr>
      <w:tr w:rsidR="00272A4A" w:rsidRPr="00272A4A" w:rsidTr="00272A4A">
        <w:tc>
          <w:tcPr>
            <w:tcW w:w="1603" w:type="dxa"/>
          </w:tcPr>
          <w:p w:rsidR="00272A4A" w:rsidRPr="00272A4A" w:rsidRDefault="00465EF0" w:rsidP="00282C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465EF0" w:rsidRPr="004304C2" w:rsidRDefault="00465EF0" w:rsidP="00465EF0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Con base en la columna del comprometido verificar que todas las </w:t>
            </w:r>
            <w:r w:rsidR="001C2E8E">
              <w:rPr>
                <w:rFonts w:ascii="Tahoma" w:hAnsi="Tahoma" w:cs="Tahoma"/>
                <w:sz w:val="24"/>
                <w:szCs w:val="24"/>
                <w:lang w:val="es-CR"/>
              </w:rPr>
              <w:t>Ordenes de Pedido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tengan una razón de estar, esto se verifica con el Proveedor Institucional: </w:t>
            </w:r>
          </w:p>
          <w:p w:rsidR="00465EF0" w:rsidRPr="004304C2" w:rsidRDefault="00465EF0" w:rsidP="00465EF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Si el proveedor va a entregar el servicio o bien se debe caducar.</w:t>
            </w:r>
          </w:p>
          <w:p w:rsidR="00465EF0" w:rsidRPr="004304C2" w:rsidRDefault="00465EF0" w:rsidP="00465EF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Si son reservas se debe establecer si tiene razón de ser</w:t>
            </w:r>
            <w:r w:rsidR="00752737">
              <w:rPr>
                <w:rFonts w:ascii="Tahoma" w:hAnsi="Tahoma" w:cs="Tahoma"/>
                <w:sz w:val="24"/>
                <w:szCs w:val="24"/>
                <w:lang w:val="es-CR"/>
              </w:rPr>
              <w:t>, de lo contrario solicitar el caduco.</w:t>
            </w:r>
          </w:p>
          <w:p w:rsidR="00272A4A" w:rsidRPr="004304C2" w:rsidRDefault="00465EF0" w:rsidP="00465EF0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Todo lo que quede en saldo pasará a presupuesto del siguiente periodo.</w:t>
            </w:r>
          </w:p>
        </w:tc>
        <w:tc>
          <w:tcPr>
            <w:tcW w:w="2126" w:type="dxa"/>
          </w:tcPr>
          <w:p w:rsidR="001C2E8E" w:rsidRDefault="00D03264" w:rsidP="00282CDE">
            <w:pPr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</w:p>
          <w:p w:rsidR="001C2E8E" w:rsidRDefault="001C2E8E" w:rsidP="00282CDE">
            <w:pPr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65EF0" w:rsidRPr="00272A4A" w:rsidRDefault="00D03264" w:rsidP="00282C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5EF0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752737">
              <w:rPr>
                <w:rFonts w:ascii="Tahoma" w:hAnsi="Tahoma" w:cs="Tahoma"/>
                <w:sz w:val="24"/>
                <w:szCs w:val="24"/>
              </w:rPr>
              <w:t xml:space="preserve">de </w:t>
            </w:r>
            <w:r w:rsidR="00465EF0">
              <w:rPr>
                <w:rFonts w:ascii="Tahoma" w:hAnsi="Tahoma" w:cs="Tahoma"/>
                <w:sz w:val="24"/>
                <w:szCs w:val="24"/>
              </w:rPr>
              <w:t>Proveeduría</w:t>
            </w:r>
          </w:p>
        </w:tc>
      </w:tr>
      <w:tr w:rsidR="00182C7B" w:rsidRPr="00272A4A" w:rsidTr="00272A4A">
        <w:tc>
          <w:tcPr>
            <w:tcW w:w="1603" w:type="dxa"/>
          </w:tcPr>
          <w:p w:rsidR="00182C7B" w:rsidRPr="00272A4A" w:rsidRDefault="00182C7B" w:rsidP="00182C7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182C7B" w:rsidRPr="004304C2" w:rsidRDefault="00182C7B" w:rsidP="00182C7B">
            <w:p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Verificar que la columna de recibido de mercancías esté en 0.</w:t>
            </w:r>
          </w:p>
          <w:p w:rsidR="00182C7B" w:rsidRPr="004304C2" w:rsidRDefault="00182C7B" w:rsidP="00182C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Si tiene afectación se coordina con la Dirección Financiera de</w:t>
            </w:r>
            <w:r w:rsidR="00721F02" w:rsidRPr="004304C2">
              <w:rPr>
                <w:rFonts w:ascii="Tahoma" w:hAnsi="Tahoma" w:cs="Tahoma"/>
                <w:sz w:val="24"/>
                <w:szCs w:val="24"/>
                <w:lang w:val="es-CR"/>
              </w:rPr>
              <w:t>l Ministerio de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Justicia para que ajusten la diferencia. Lo que se refleja en esa columna es el recibido de las facturas, cuando llega a</w:t>
            </w:r>
            <w:r w:rsidR="00721F02" w:rsidRPr="004304C2">
              <w:rPr>
                <w:rFonts w:ascii="Tahoma" w:hAnsi="Tahoma" w:cs="Tahoma"/>
                <w:sz w:val="24"/>
                <w:szCs w:val="24"/>
                <w:lang w:val="es-CR"/>
              </w:rPr>
              <w:t>l Ministerio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Justicia la factura, deben devengarla (pasarlo de columna de mercancías a devengado). </w:t>
            </w:r>
          </w:p>
          <w:p w:rsidR="00182C7B" w:rsidRPr="004304C2" w:rsidRDefault="00182C7B" w:rsidP="00182C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Si hay facturas que aún están en</w:t>
            </w:r>
            <w:r w:rsidR="001C2E8E">
              <w:rPr>
                <w:rFonts w:ascii="Tahoma" w:hAnsi="Tahoma" w:cs="Tahoma"/>
                <w:sz w:val="24"/>
                <w:szCs w:val="24"/>
                <w:lang w:val="es-CR"/>
              </w:rPr>
              <w:t xml:space="preserve"> recibido de 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mercancías se debe revisar el por qué no han sido tramitadas y resolver si van a ser devengadas o no.</w:t>
            </w:r>
          </w:p>
          <w:p w:rsidR="00182C7B" w:rsidRPr="004304C2" w:rsidRDefault="00182C7B" w:rsidP="00182C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Coordinar que los Proveedores comerciales que mantienen contrato facturen anticipadamente el cobro de</w:t>
            </w:r>
            <w:r w:rsidR="004304C2">
              <w:rPr>
                <w:rFonts w:ascii="Tahoma" w:hAnsi="Tahoma" w:cs="Tahoma"/>
                <w:sz w:val="24"/>
                <w:szCs w:val="24"/>
                <w:lang w:val="es-CR"/>
              </w:rPr>
              <w:t>l mes de d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iciembre para que es</w:t>
            </w:r>
            <w:r w:rsidR="00721F02" w:rsidRPr="004304C2">
              <w:rPr>
                <w:rFonts w:ascii="Tahoma" w:hAnsi="Tahoma" w:cs="Tahoma"/>
                <w:sz w:val="24"/>
                <w:szCs w:val="24"/>
                <w:lang w:val="es-CR"/>
              </w:rPr>
              <w:t>tas facturas estén en devengado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 xml:space="preserve"> </w:t>
            </w:r>
            <w:r w:rsidR="00721F02" w:rsidRPr="004304C2">
              <w:rPr>
                <w:rFonts w:ascii="Tahoma" w:hAnsi="Tahoma" w:cs="Tahoma"/>
                <w:sz w:val="24"/>
                <w:szCs w:val="24"/>
                <w:lang w:val="es-CR"/>
              </w:rPr>
              <w:t>(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no se pagan anticipadamente sino solamente se devengan</w:t>
            </w:r>
            <w:r w:rsidR="00721F02" w:rsidRPr="004304C2">
              <w:rPr>
                <w:rFonts w:ascii="Tahoma" w:hAnsi="Tahoma" w:cs="Tahoma"/>
                <w:sz w:val="24"/>
                <w:szCs w:val="24"/>
                <w:lang w:val="es-CR"/>
              </w:rPr>
              <w:t>)</w:t>
            </w:r>
            <w:r w:rsidRPr="004304C2">
              <w:rPr>
                <w:rFonts w:ascii="Tahoma" w:hAnsi="Tahoma" w:cs="Tahoma"/>
                <w:sz w:val="24"/>
                <w:szCs w:val="24"/>
                <w:lang w:val="es-CR"/>
              </w:rPr>
              <w:t>.</w:t>
            </w:r>
          </w:p>
        </w:tc>
        <w:tc>
          <w:tcPr>
            <w:tcW w:w="2126" w:type="dxa"/>
          </w:tcPr>
          <w:p w:rsidR="00182C7B" w:rsidRPr="00272A4A" w:rsidRDefault="00182C7B" w:rsidP="00182C7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D03264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D03264"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</w:p>
        </w:tc>
      </w:tr>
    </w:tbl>
    <w:p w:rsidR="009F2E1A" w:rsidRDefault="009F2E1A" w:rsidP="00182C7B">
      <w:pPr>
        <w:tabs>
          <w:tab w:val="left" w:pos="1603"/>
          <w:tab w:val="left" w:pos="7054"/>
        </w:tabs>
        <w:rPr>
          <w:rFonts w:ascii="Tahoma" w:hAnsi="Tahoma" w:cs="Tahoma"/>
          <w:sz w:val="24"/>
          <w:szCs w:val="24"/>
        </w:rPr>
      </w:pPr>
    </w:p>
    <w:p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E8002F" w:rsidRDefault="00E8002F" w:rsidP="00E8002F">
      <w:pPr>
        <w:pStyle w:val="Ttulo1"/>
      </w:pPr>
      <w:bookmarkStart w:id="5" w:name="_Toc368476474"/>
      <w:r w:rsidRPr="00E8002F">
        <w:t>DIAGRAMACIÓN DEL PROCEDIMIENTO</w:t>
      </w:r>
      <w:bookmarkEnd w:id="5"/>
    </w:p>
    <w:p w:rsidR="007255D9" w:rsidRDefault="007255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0E6C5" wp14:editId="0481F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1500" cy="3653147"/>
                <wp:effectExtent l="0" t="0" r="14605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500" cy="3653147"/>
                          <a:chOff x="0" y="0"/>
                          <a:chExt cx="1071500" cy="3653147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E1A" w:rsidRPr="009F5184" w:rsidRDefault="009F2E1A" w:rsidP="009F2E1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9F5184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Verificar en SIGAF los documenos en comprometido y solicitado que deben estar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522514" y="1021278"/>
                            <a:ext cx="9525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11875" y="1318161"/>
                            <a:ext cx="1047750" cy="1028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E1A" w:rsidRPr="009F5184" w:rsidRDefault="009F2E1A" w:rsidP="009F2E1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9F5184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Verificar solicitudes de compra que deben estar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34389" y="2339439"/>
                            <a:ext cx="9525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3750" y="2624447"/>
                            <a:ext cx="1047750" cy="1028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E1A" w:rsidRPr="009F5184" w:rsidRDefault="009F2E1A" w:rsidP="009F2E1A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 w:rsidRPr="009F5184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Verificar recibo de mercancías que esté en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460E6C5" id="Grupo 1" o:spid="_x0000_s1026" style="position:absolute;left:0;text-align:left;margin-left:0;margin-top:0;width:84.35pt;height:287.65pt;z-index:251659264" coordsize="10715,3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">
                <v:rect id="Oval 3" o:spid="_x0000_s1027" style="position:absolute;width:1047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hqwgAAANoAAAAPAAAAZHJzL2Rvd25yZXYueG1sRI9Ba8JA&#10;FITvQv/D8gQvUndVWt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AM/ohqwgAAANoAAAAPAAAA&#10;AAAAAAAAAAAAAAcCAABkcnMvZG93bnJldi54bWxQSwUGAAAAAAMAAwC3AAAA9gIAAAAA&#10;" fillcolor="white [3201]" strokecolor="black [3213]" strokeweight=".25pt">
                  <v:textbox>
                    <w:txbxContent>
                      <w:p w:rsidR="009F2E1A" w:rsidRPr="009F5184" w:rsidRDefault="009F2E1A" w:rsidP="009F2E1A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 w:rsidRPr="009F5184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Verificar en SIGAF los documenos en comprometido y solicitado que deben estar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5225;top:10212;width:95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BmxAAAANoAAAAPAAAAZHJzL2Rvd25yZXYueG1sRI/BasMw&#10;EETvgfyD2EBvidxQ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P+QsGbEAAAA2gAAAA8A&#10;AAAAAAAAAAAAAAAABwIAAGRycy9kb3ducmV2LnhtbFBLBQYAAAAAAwADALcAAAD4AgAAAAA=&#10;" strokecolor="black [3040]">
                  <v:stroke endarrow="open"/>
                </v:shape>
                <v:rect id="Oval 7" o:spid="_x0000_s1029" style="position:absolute;left:118;top:13181;width:1047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" fillcolor="white [3201]" strokecolor="black [3213]" strokeweight=".25pt">
                  <v:textbox>
                    <w:txbxContent>
                      <w:p w:rsidR="009F2E1A" w:rsidRPr="009F5184" w:rsidRDefault="009F2E1A" w:rsidP="009F2E1A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 w:rsidRPr="009F5184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Verificar solicitudes de compra que deben estar</w:t>
                        </w:r>
                      </w:p>
                    </w:txbxContent>
                  </v:textbox>
                </v:rect>
                <v:shape id="Straight Arrow Connector 8" o:spid="_x0000_s1030" type="#_x0000_t32" style="position:absolute;left:5343;top:23394;width:96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  <v:rect id="Oval 9" o:spid="_x0000_s1031" style="position:absolute;left:237;top:26244;width:1047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" fillcolor="white [3201]" strokecolor="black [3213]" strokeweight=".25pt">
                  <v:textbox>
                    <w:txbxContent>
                      <w:p w:rsidR="009F2E1A" w:rsidRPr="009F5184" w:rsidRDefault="009F2E1A" w:rsidP="009F2E1A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 w:rsidRPr="009F5184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Verificar recibo de mercancías que esté en 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F2E1A" w:rsidRDefault="009F2E1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BD4646" w:rsidRDefault="00BD4646">
      <w:pPr>
        <w:rPr>
          <w:rFonts w:ascii="Tahoma" w:hAnsi="Tahoma" w:cs="Tahoma"/>
          <w:sz w:val="24"/>
          <w:szCs w:val="24"/>
          <w:lang w:val="es-MX"/>
        </w:rPr>
      </w:pPr>
    </w:p>
    <w:p w:rsidR="00272A4A" w:rsidRPr="00E8002F" w:rsidRDefault="00E8002F" w:rsidP="00E8002F">
      <w:pPr>
        <w:pStyle w:val="Ttulo1"/>
      </w:pPr>
      <w:bookmarkStart w:id="6" w:name="_Toc368476475"/>
      <w:r w:rsidRPr="00E8002F">
        <w:t>ANEXOS</w:t>
      </w:r>
      <w:bookmarkEnd w:id="6"/>
    </w:p>
    <w:p w:rsidR="00B85FE9" w:rsidRDefault="003B230A" w:rsidP="001C2E8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no tiene anexos.</w:t>
      </w:r>
    </w:p>
    <w:p w:rsidR="001C2E8E" w:rsidRDefault="001C2E8E" w:rsidP="001C2E8E">
      <w:pPr>
        <w:rPr>
          <w:rFonts w:ascii="Tahoma" w:hAnsi="Tahoma" w:cs="Tahoma"/>
          <w:sz w:val="24"/>
          <w:szCs w:val="24"/>
          <w:lang w:val="es-MX"/>
        </w:rPr>
      </w:pPr>
    </w:p>
    <w:p w:rsidR="001C2E8E" w:rsidRDefault="001C2E8E" w:rsidP="001C2E8E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1C2E8E" w:rsidTr="001C2E8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noProof w:val="0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br w:type="page"/>
              <w:t>Actualizó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1C2E8E" w:rsidTr="001C2E8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Maureen Sanabria Marín- Departamento Financiero Contable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Leiva, Subdirectora Desarrollo Institucional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E" w:rsidRDefault="001C2E8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Maribel Salazar Valverde, Directora Desarrollo Institucional</w:t>
            </w:r>
          </w:p>
        </w:tc>
      </w:tr>
    </w:tbl>
    <w:p w:rsidR="001C2E8E" w:rsidRDefault="001C2E8E" w:rsidP="001C2E8E">
      <w:pPr>
        <w:rPr>
          <w:rFonts w:ascii="Tahoma" w:hAnsi="Tahoma" w:cs="Tahoma"/>
          <w:sz w:val="24"/>
          <w:szCs w:val="24"/>
          <w:lang w:val="es-MX"/>
        </w:rPr>
      </w:pPr>
    </w:p>
    <w:sectPr w:rsidR="001C2E8E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55" w:rsidRDefault="00EA5355">
      <w:r>
        <w:separator/>
      </w:r>
    </w:p>
  </w:endnote>
  <w:endnote w:type="continuationSeparator" w:id="0">
    <w:p w:rsidR="00EA5355" w:rsidRDefault="00E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55" w:rsidRDefault="00EA5355">
      <w:r>
        <w:separator/>
      </w:r>
    </w:p>
  </w:footnote>
  <w:footnote w:type="continuationSeparator" w:id="0">
    <w:p w:rsidR="00EA5355" w:rsidRDefault="00EA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14EB521B" wp14:editId="22B99A4C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4304C2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 w:rsidRPr="004304C2">
      <w:rPr>
        <w:rStyle w:val="Nmerodepgina"/>
        <w:rFonts w:ascii="Tahoma" w:hAnsi="Tahoma" w:cs="Tahoma"/>
        <w:lang w:val="es-CR"/>
      </w:rPr>
      <w:t>Noviembre de 2013</w:t>
    </w:r>
  </w:p>
  <w:p w:rsidR="005E463D" w:rsidRPr="004304C2" w:rsidRDefault="00272A4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CR"/>
      </w:rPr>
    </w:pPr>
    <w:r w:rsidRPr="004304C2">
      <w:rPr>
        <w:rStyle w:val="Nmerodepgina"/>
        <w:rFonts w:ascii="Tahoma" w:hAnsi="Tahoma" w:cs="Tahoma"/>
        <w:lang w:val="es-CR"/>
      </w:rPr>
      <w:t xml:space="preserve">Procedimiento </w:t>
    </w:r>
    <w:r w:rsidR="00965590" w:rsidRPr="004304C2">
      <w:rPr>
        <w:rStyle w:val="Nmerodepgina"/>
        <w:rFonts w:ascii="Tahoma" w:hAnsi="Tahoma" w:cs="Tahoma"/>
        <w:lang w:val="es-CR"/>
      </w:rPr>
      <w:t>Ejecución del cierre</w:t>
    </w:r>
  </w:p>
  <w:p w:rsidR="000308CF" w:rsidRPr="005E463D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5E463D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A23792">
      <w:rPr>
        <w:rStyle w:val="Nmerodepgina"/>
        <w:rFonts w:ascii="Tahoma" w:hAnsi="Tahoma" w:cs="Tahoma"/>
        <w:lang w:val="es-MX"/>
      </w:rPr>
      <w:t>2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456109D6" wp14:editId="36C3215F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D3C03"/>
    <w:multiLevelType w:val="hybridMultilevel"/>
    <w:tmpl w:val="E83C05A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52416"/>
    <w:multiLevelType w:val="hybridMultilevel"/>
    <w:tmpl w:val="4A12F43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308CF"/>
    <w:rsid w:val="000362FD"/>
    <w:rsid w:val="00037830"/>
    <w:rsid w:val="00041E5B"/>
    <w:rsid w:val="000662F6"/>
    <w:rsid w:val="00082C3D"/>
    <w:rsid w:val="00085669"/>
    <w:rsid w:val="00086A4B"/>
    <w:rsid w:val="000D3170"/>
    <w:rsid w:val="0010420E"/>
    <w:rsid w:val="00120E2E"/>
    <w:rsid w:val="00126880"/>
    <w:rsid w:val="00150D30"/>
    <w:rsid w:val="001650AB"/>
    <w:rsid w:val="00170E2F"/>
    <w:rsid w:val="00182C7B"/>
    <w:rsid w:val="00184633"/>
    <w:rsid w:val="001C2E8E"/>
    <w:rsid w:val="001E2FAA"/>
    <w:rsid w:val="001E7C9B"/>
    <w:rsid w:val="001F5EDA"/>
    <w:rsid w:val="00200C4C"/>
    <w:rsid w:val="002037FD"/>
    <w:rsid w:val="0021015F"/>
    <w:rsid w:val="00216A31"/>
    <w:rsid w:val="002214A6"/>
    <w:rsid w:val="0022403F"/>
    <w:rsid w:val="002249FC"/>
    <w:rsid w:val="00235C3E"/>
    <w:rsid w:val="0025796D"/>
    <w:rsid w:val="00267F1B"/>
    <w:rsid w:val="00272473"/>
    <w:rsid w:val="00272A4A"/>
    <w:rsid w:val="0027723A"/>
    <w:rsid w:val="00282CDE"/>
    <w:rsid w:val="002A3888"/>
    <w:rsid w:val="002D2E95"/>
    <w:rsid w:val="002D3595"/>
    <w:rsid w:val="002D4527"/>
    <w:rsid w:val="002F415C"/>
    <w:rsid w:val="002F79D0"/>
    <w:rsid w:val="00336D7F"/>
    <w:rsid w:val="0034005F"/>
    <w:rsid w:val="003409FD"/>
    <w:rsid w:val="00362092"/>
    <w:rsid w:val="00374469"/>
    <w:rsid w:val="003B230A"/>
    <w:rsid w:val="003B5257"/>
    <w:rsid w:val="003C09E3"/>
    <w:rsid w:val="003D191C"/>
    <w:rsid w:val="003E75D1"/>
    <w:rsid w:val="00417E5E"/>
    <w:rsid w:val="004252A1"/>
    <w:rsid w:val="004304C2"/>
    <w:rsid w:val="004324EF"/>
    <w:rsid w:val="0043336E"/>
    <w:rsid w:val="00434AD7"/>
    <w:rsid w:val="004505D8"/>
    <w:rsid w:val="00450BFD"/>
    <w:rsid w:val="004518FE"/>
    <w:rsid w:val="00455911"/>
    <w:rsid w:val="00465EF0"/>
    <w:rsid w:val="00494AFA"/>
    <w:rsid w:val="004A1FBF"/>
    <w:rsid w:val="004B4208"/>
    <w:rsid w:val="004D1D80"/>
    <w:rsid w:val="004E4321"/>
    <w:rsid w:val="004F08DF"/>
    <w:rsid w:val="00502DF0"/>
    <w:rsid w:val="005054A9"/>
    <w:rsid w:val="00517D67"/>
    <w:rsid w:val="00527C86"/>
    <w:rsid w:val="00532B1C"/>
    <w:rsid w:val="00537EC3"/>
    <w:rsid w:val="0054486E"/>
    <w:rsid w:val="005A27E2"/>
    <w:rsid w:val="005A790C"/>
    <w:rsid w:val="005B28A4"/>
    <w:rsid w:val="005C1BE4"/>
    <w:rsid w:val="005D1A5E"/>
    <w:rsid w:val="005E463D"/>
    <w:rsid w:val="005F54CE"/>
    <w:rsid w:val="00607106"/>
    <w:rsid w:val="0063031F"/>
    <w:rsid w:val="0067011D"/>
    <w:rsid w:val="00674352"/>
    <w:rsid w:val="00683817"/>
    <w:rsid w:val="006B7E5B"/>
    <w:rsid w:val="006D24B3"/>
    <w:rsid w:val="006D5994"/>
    <w:rsid w:val="006E4500"/>
    <w:rsid w:val="006E62C0"/>
    <w:rsid w:val="006F2806"/>
    <w:rsid w:val="00721F02"/>
    <w:rsid w:val="0072407F"/>
    <w:rsid w:val="00724B47"/>
    <w:rsid w:val="007255D9"/>
    <w:rsid w:val="0073304E"/>
    <w:rsid w:val="00734CF6"/>
    <w:rsid w:val="00752737"/>
    <w:rsid w:val="00771367"/>
    <w:rsid w:val="00785E88"/>
    <w:rsid w:val="007A1DB2"/>
    <w:rsid w:val="007B2FE3"/>
    <w:rsid w:val="007B44C5"/>
    <w:rsid w:val="007D412A"/>
    <w:rsid w:val="007D613E"/>
    <w:rsid w:val="007D7A78"/>
    <w:rsid w:val="00814CE7"/>
    <w:rsid w:val="0087717F"/>
    <w:rsid w:val="00881004"/>
    <w:rsid w:val="00896DBB"/>
    <w:rsid w:val="008B0F3E"/>
    <w:rsid w:val="008B1AC5"/>
    <w:rsid w:val="0091188C"/>
    <w:rsid w:val="009200D7"/>
    <w:rsid w:val="00937095"/>
    <w:rsid w:val="00965590"/>
    <w:rsid w:val="00986821"/>
    <w:rsid w:val="009913C1"/>
    <w:rsid w:val="009A16E8"/>
    <w:rsid w:val="009A5851"/>
    <w:rsid w:val="009C78CE"/>
    <w:rsid w:val="009D0377"/>
    <w:rsid w:val="009E61DC"/>
    <w:rsid w:val="009E6FA8"/>
    <w:rsid w:val="009F2E1A"/>
    <w:rsid w:val="009F5184"/>
    <w:rsid w:val="00A077D4"/>
    <w:rsid w:val="00A14F0E"/>
    <w:rsid w:val="00A23792"/>
    <w:rsid w:val="00A26F87"/>
    <w:rsid w:val="00A32466"/>
    <w:rsid w:val="00A433AE"/>
    <w:rsid w:val="00A56EFB"/>
    <w:rsid w:val="00A646CF"/>
    <w:rsid w:val="00AA51FB"/>
    <w:rsid w:val="00AC047C"/>
    <w:rsid w:val="00AD4189"/>
    <w:rsid w:val="00AE0327"/>
    <w:rsid w:val="00AF5A1B"/>
    <w:rsid w:val="00B0468E"/>
    <w:rsid w:val="00B05980"/>
    <w:rsid w:val="00B3317C"/>
    <w:rsid w:val="00B36CC5"/>
    <w:rsid w:val="00B4196B"/>
    <w:rsid w:val="00B51492"/>
    <w:rsid w:val="00B57FC4"/>
    <w:rsid w:val="00B77EE5"/>
    <w:rsid w:val="00B85FE9"/>
    <w:rsid w:val="00BB532C"/>
    <w:rsid w:val="00BD0E07"/>
    <w:rsid w:val="00BD1B0E"/>
    <w:rsid w:val="00BD4646"/>
    <w:rsid w:val="00C056A6"/>
    <w:rsid w:val="00C4159D"/>
    <w:rsid w:val="00C51071"/>
    <w:rsid w:val="00C86555"/>
    <w:rsid w:val="00C91E79"/>
    <w:rsid w:val="00CB776E"/>
    <w:rsid w:val="00CC18AE"/>
    <w:rsid w:val="00CC2A19"/>
    <w:rsid w:val="00CC7AB7"/>
    <w:rsid w:val="00CC7DCE"/>
    <w:rsid w:val="00CD37D8"/>
    <w:rsid w:val="00CE2C1D"/>
    <w:rsid w:val="00CF2051"/>
    <w:rsid w:val="00D03264"/>
    <w:rsid w:val="00D22779"/>
    <w:rsid w:val="00D51004"/>
    <w:rsid w:val="00D62A80"/>
    <w:rsid w:val="00D70AC4"/>
    <w:rsid w:val="00D77845"/>
    <w:rsid w:val="00D830EB"/>
    <w:rsid w:val="00DA14F2"/>
    <w:rsid w:val="00DA525A"/>
    <w:rsid w:val="00DB381F"/>
    <w:rsid w:val="00DB3873"/>
    <w:rsid w:val="00DC179C"/>
    <w:rsid w:val="00DD6C3D"/>
    <w:rsid w:val="00DD6F18"/>
    <w:rsid w:val="00DE181E"/>
    <w:rsid w:val="00DF037F"/>
    <w:rsid w:val="00DF1BDE"/>
    <w:rsid w:val="00E2598E"/>
    <w:rsid w:val="00E27068"/>
    <w:rsid w:val="00E3601D"/>
    <w:rsid w:val="00E37709"/>
    <w:rsid w:val="00E71314"/>
    <w:rsid w:val="00E8002F"/>
    <w:rsid w:val="00E8761A"/>
    <w:rsid w:val="00E979C9"/>
    <w:rsid w:val="00EA4BF9"/>
    <w:rsid w:val="00EA5355"/>
    <w:rsid w:val="00EA734F"/>
    <w:rsid w:val="00EE3DC0"/>
    <w:rsid w:val="00F06EFB"/>
    <w:rsid w:val="00F266B1"/>
    <w:rsid w:val="00F3039C"/>
    <w:rsid w:val="00F30792"/>
    <w:rsid w:val="00F5193D"/>
    <w:rsid w:val="00F555F9"/>
    <w:rsid w:val="00F718AC"/>
    <w:rsid w:val="00F85737"/>
    <w:rsid w:val="00F96F80"/>
    <w:rsid w:val="00FA5C00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93ABD957-9594-419C-BAED-0ACEC1C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96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D547-6C3C-4769-B6A7-112CB8C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Ana Marcela Avalos Mora</cp:lastModifiedBy>
  <cp:revision>2</cp:revision>
  <cp:lastPrinted>2005-11-18T20:50:00Z</cp:lastPrinted>
  <dcterms:created xsi:type="dcterms:W3CDTF">2022-01-03T14:46:00Z</dcterms:created>
  <dcterms:modified xsi:type="dcterms:W3CDTF">2022-01-03T14:46:00Z</dcterms:modified>
</cp:coreProperties>
</file>